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BBCAE">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b/>
          <w:color w:val="000000" w:themeColor="text1"/>
          <w:kern w:val="0"/>
          <w:sz w:val="32"/>
          <w:szCs w:val="32"/>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32"/>
          <w:szCs w:val="32"/>
          <w:shd w:val="clear" w:color="auto" w:fill="FFFFFF"/>
          <w14:textFill>
            <w14:solidFill>
              <w14:schemeClr w14:val="tx1"/>
            </w14:solidFill>
          </w14:textFill>
        </w:rPr>
        <w:t>上海戏剧学院</w:t>
      </w:r>
      <w:r>
        <w:rPr>
          <w:rFonts w:hint="eastAsia" w:ascii="方正仿宋_GB2312" w:hAnsi="方正仿宋_GB2312" w:eastAsia="方正仿宋_GB2312" w:cs="方正仿宋_GB2312"/>
          <w:b/>
          <w:color w:val="000000" w:themeColor="text1"/>
          <w:kern w:val="0"/>
          <w:sz w:val="32"/>
          <w:szCs w:val="32"/>
          <w:shd w:val="clear" w:color="auto" w:fill="FFFFFF"/>
          <w:lang w:val="en-US" w:eastAsia="zh-CN"/>
          <w14:textFill>
            <w14:solidFill>
              <w14:schemeClr w14:val="tx1"/>
            </w14:solidFill>
          </w14:textFill>
        </w:rPr>
        <w:t>表演系（含音乐剧中心）</w:t>
      </w:r>
      <w:r>
        <w:rPr>
          <w:rFonts w:hint="eastAsia" w:ascii="方正仿宋_GB2312" w:hAnsi="方正仿宋_GB2312" w:eastAsia="方正仿宋_GB2312" w:cs="方正仿宋_GB2312"/>
          <w:b/>
          <w:color w:val="000000" w:themeColor="text1"/>
          <w:kern w:val="0"/>
          <w:sz w:val="32"/>
          <w:szCs w:val="32"/>
          <w:shd w:val="clear" w:color="auto" w:fill="FFFFFF"/>
          <w14:textFill>
            <w14:solidFill>
              <w14:schemeClr w14:val="tx1"/>
            </w14:solidFill>
          </w14:textFill>
        </w:rPr>
        <w:t>硕士研究生</w:t>
      </w:r>
    </w:p>
    <w:p w14:paraId="07B9576B">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b/>
          <w:color w:val="000000" w:themeColor="text1"/>
          <w:kern w:val="0"/>
          <w:sz w:val="32"/>
          <w:szCs w:val="32"/>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32"/>
          <w:szCs w:val="32"/>
          <w:shd w:val="clear" w:color="auto" w:fill="FFFFFF"/>
          <w14:textFill>
            <w14:solidFill>
              <w14:schemeClr w14:val="tx1"/>
            </w14:solidFill>
          </w14:textFill>
        </w:rPr>
        <w:t>学业奖学金评定条例（试行）</w:t>
      </w:r>
    </w:p>
    <w:p w14:paraId="342980B0">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p>
    <w:p w14:paraId="6FAA3F0C">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为了鼓励研究生学习学业的积极性，从2014年开始推行研究生学业奖学金评定工作。根据《上海市教育委员会 上海市财政局 上海市退役军人事务局 上海市人民政府征兵办公室</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&lt;</w:t>
      </w:r>
      <w:r>
        <w:rPr>
          <w:rFonts w:hint="default" w:ascii="Times New Roman" w:hAnsi="Times New Roman" w:eastAsia="仿宋_GB2312" w:cs="Times New Roman"/>
          <w:color w:val="000000" w:themeColor="text1"/>
          <w:sz w:val="28"/>
          <w:szCs w:val="28"/>
          <w14:textFill>
            <w14:solidFill>
              <w14:schemeClr w14:val="tx1"/>
            </w14:solidFill>
          </w14:textFill>
        </w:rPr>
        <w:t>关于印发上海市普通高等学校学生资助资金管理实施办法</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&gt;</w:t>
      </w:r>
      <w:r>
        <w:rPr>
          <w:rFonts w:hint="default" w:ascii="Times New Roman" w:hAnsi="Times New Roman" w:eastAsia="仿宋_GB2312" w:cs="Times New Roman"/>
          <w:color w:val="000000" w:themeColor="text1"/>
          <w:sz w:val="28"/>
          <w:szCs w:val="28"/>
          <w14:textFill>
            <w14:solidFill>
              <w14:schemeClr w14:val="tx1"/>
            </w14:solidFill>
          </w14:textFill>
        </w:rPr>
        <w:t>的通知》（沪教委规〔2025〕8号）</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《上海市普通高等学校学生资助资金管理实施办法》（沪教委规〔2020〕2号）</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w:t>
      </w:r>
      <w:r>
        <w:rPr>
          <w:rFonts w:hint="default" w:ascii="Times New Roman" w:hAnsi="Times New Roman" w:eastAsia="仿宋_GB2312" w:cs="Times New Roman"/>
          <w:color w:val="000000" w:themeColor="text1"/>
          <w:sz w:val="28"/>
          <w:szCs w:val="28"/>
          <w14:textFill>
            <w14:solidFill>
              <w14:schemeClr w14:val="tx1"/>
            </w14:solidFill>
          </w14:textFill>
        </w:rPr>
        <w:t>《上海戏剧学院研究生学业奖学金评审办法（202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14:textFill>
            <w14:solidFill>
              <w14:schemeClr w14:val="tx1"/>
            </w14:solidFill>
          </w14:textFill>
        </w:rPr>
        <w:t>年修订）》等文件</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精神</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制定本条例。</w:t>
      </w:r>
    </w:p>
    <w:p w14:paraId="7C1081C0">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08133DEC">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一、设奖类别</w:t>
      </w:r>
    </w:p>
    <w:p w14:paraId="1220F1DC">
      <w:pPr>
        <w:keepNext w:val="0"/>
        <w:keepLines w:val="0"/>
        <w:pageBreakBefore w:val="0"/>
        <w:widowControl/>
        <w:kinsoku/>
        <w:wordWrap/>
        <w:overflowPunct/>
        <w:topLinePunct w:val="0"/>
        <w:bidi w:val="0"/>
        <w:snapToGrid/>
        <w:spacing w:line="440" w:lineRule="exact"/>
        <w:ind w:firstLine="562"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shd w:val="clear" w:color="auto" w:fill="FFFFFF"/>
          <w14:textFill>
            <w14:solidFill>
              <w14:schemeClr w14:val="tx1"/>
            </w14:solidFill>
          </w14:textFill>
        </w:rPr>
        <w:t>一年级</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硕士研究生学业奖学金不设等次。</w:t>
      </w:r>
    </w:p>
    <w:p w14:paraId="484C440F">
      <w:pPr>
        <w:keepNext w:val="0"/>
        <w:keepLines w:val="0"/>
        <w:pageBreakBefore w:val="0"/>
        <w:widowControl/>
        <w:kinsoku/>
        <w:wordWrap/>
        <w:overflowPunct/>
        <w:topLinePunct w:val="0"/>
        <w:bidi w:val="0"/>
        <w:snapToGrid/>
        <w:spacing w:line="440" w:lineRule="exact"/>
        <w:ind w:firstLine="562"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shd w:val="clear" w:color="auto" w:fill="FFFFFF"/>
          <w14:textFill>
            <w14:solidFill>
              <w14:schemeClr w14:val="tx1"/>
            </w14:solidFill>
          </w14:textFill>
        </w:rPr>
        <w:t>学制内高年级</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硕士研究生学业奖学金设一等奖、二等奖、三等奖</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三</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个等次。</w:t>
      </w:r>
    </w:p>
    <w:p w14:paraId="701BE6DE">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2847383C">
      <w:pPr>
        <w:keepNext w:val="0"/>
        <w:keepLines w:val="0"/>
        <w:pageBreakBefore w:val="0"/>
        <w:widowControl/>
        <w:kinsoku/>
        <w:wordWrap/>
        <w:overflowPunct/>
        <w:topLinePunct w:val="0"/>
        <w:bidi w:val="0"/>
        <w:snapToGrid/>
        <w:spacing w:line="440" w:lineRule="exac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二、参评对象</w:t>
      </w:r>
    </w:p>
    <w:p w14:paraId="726C2851">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全日制硕士研究生。</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港澳台、</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留学生、人事档案不转入本校的硕士研究生及延期毕业硕士研究生除外。</w:t>
      </w:r>
    </w:p>
    <w:p w14:paraId="26EE5E93">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30E17D17">
      <w:pPr>
        <w:keepNext w:val="0"/>
        <w:keepLines w:val="0"/>
        <w:pageBreakBefore w:val="0"/>
        <w:widowControl/>
        <w:kinsoku/>
        <w:wordWrap/>
        <w:overflowPunct/>
        <w:topLinePunct w:val="0"/>
        <w:bidi w:val="0"/>
        <w:snapToGrid/>
        <w:spacing w:line="440" w:lineRule="exac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三、评定条件</w:t>
      </w:r>
    </w:p>
    <w:p w14:paraId="143C1753">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（一）热爱社会主义祖国，拥护中国共产党的领导；</w:t>
      </w:r>
    </w:p>
    <w:p w14:paraId="11F2A41A">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（二）遵守国家有关法律和学校的规章制度；</w:t>
      </w:r>
    </w:p>
    <w:p w14:paraId="30A6FCEF">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（三）勤奋学习，努力掌握专业知识，各门课程学习成绩优秀；</w:t>
      </w:r>
    </w:p>
    <w:p w14:paraId="58E3E0DF">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（四）热爱集体，品德优良，积极参加各类研究生集体活动和社会实践活动。</w:t>
      </w:r>
    </w:p>
    <w:p w14:paraId="64591AC1">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五</w:t>
      </w:r>
      <w:r>
        <w:rPr>
          <w:rFonts w:hint="eastAsia" w:ascii="方正仿宋_GB2312" w:hAnsi="方正仿宋_GB2312" w:eastAsia="方正仿宋_GB2312" w:cs="方正仿宋_GB2312"/>
          <w:color w:val="000000" w:themeColor="text1"/>
          <w:kern w:val="0"/>
          <w:sz w:val="28"/>
          <w:szCs w:val="28"/>
          <w:shd w:val="clear" w:color="auto" w:fill="FFFFFF"/>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所有获奖材料和发表论文情况须为202</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—202</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学年期间未参评过学业奖学金的材料，且必须署名“上海戏剧学院硕士”身份。</w:t>
      </w:r>
    </w:p>
    <w:p w14:paraId="122BBECE">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044DF449">
      <w:pPr>
        <w:keepNext w:val="0"/>
        <w:keepLines w:val="0"/>
        <w:pageBreakBefore w:val="0"/>
        <w:widowControl/>
        <w:kinsoku/>
        <w:wordWrap/>
        <w:overflowPunct/>
        <w:topLinePunct w:val="0"/>
        <w:bidi w:val="0"/>
        <w:snapToGrid/>
        <w:spacing w:line="440" w:lineRule="exac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四、评定测算方法</w:t>
      </w:r>
    </w:p>
    <w:p w14:paraId="4C48BB4A">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（一）一年级学业奖学金不设等次。</w:t>
      </w:r>
    </w:p>
    <w:p w14:paraId="647A7CD5">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（二）二年级、三年级奖学金评定细则：</w:t>
      </w:r>
    </w:p>
    <w:p w14:paraId="30A6E1EF">
      <w:pPr>
        <w:keepNext w:val="0"/>
        <w:keepLines w:val="0"/>
        <w:pageBreakBefore w:val="0"/>
        <w:widowControl/>
        <w:kinsoku/>
        <w:wordWrap/>
        <w:overflowPunct/>
        <w:topLinePunct w:val="0"/>
        <w:bidi w:val="0"/>
        <w:snapToGrid/>
        <w:spacing w:line="440" w:lineRule="exact"/>
        <w:ind w:firstLine="562" w:firstLineChars="200"/>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MA总分=学习成绩得分+学术科研能力得分+附加分</w:t>
      </w:r>
    </w:p>
    <w:p w14:paraId="6F8E5EF0">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1、学习成绩得分办法</w:t>
      </w:r>
    </w:p>
    <w:p w14:paraId="3AD4C81F">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学习成绩得分=所修课程的平均分</w:t>
      </w:r>
    </w:p>
    <w:p w14:paraId="12D67D78">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（学习成绩分值按所修研究生部课程的平均分、表演系开设必修课程的平均分</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w:t>
      </w:r>
    </w:p>
    <w:tbl>
      <w:tblPr>
        <w:tblStyle w:val="7"/>
        <w:tblpPr w:leftFromText="180" w:rightFromText="180" w:vertAnchor="text" w:horzAnchor="page" w:tblpX="2110" w:tblpY="468"/>
        <w:tblOverlap w:val="never"/>
        <w:tblW w:w="7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30"/>
        <w:gridCol w:w="3930"/>
      </w:tblGrid>
      <w:tr w14:paraId="1BCFF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FA94">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学术科研能力得分办法</w:t>
            </w:r>
          </w:p>
        </w:tc>
      </w:tr>
      <w:tr w14:paraId="6AC27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1B8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课题、学术论文类别</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3047">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奖励标准（详见附件表）</w:t>
            </w:r>
          </w:p>
        </w:tc>
      </w:tr>
      <w:tr w14:paraId="4EA6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9CB2F">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核心期刊（I类）（参照南大）</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8A00">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独著</w:t>
            </w:r>
          </w:p>
        </w:tc>
      </w:tr>
      <w:tr w14:paraId="0419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E5121">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D21">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第一作者</w:t>
            </w:r>
          </w:p>
        </w:tc>
      </w:tr>
      <w:tr w14:paraId="3F14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EFFA3">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D69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第二作者</w:t>
            </w:r>
          </w:p>
        </w:tc>
      </w:tr>
      <w:tr w14:paraId="2F44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1A50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核心期刊（II类）（参照北大和南大扩展版）</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D477">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独著</w:t>
            </w:r>
          </w:p>
        </w:tc>
      </w:tr>
      <w:tr w14:paraId="01DA7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E8C3F">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8A20">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第一作者</w:t>
            </w:r>
          </w:p>
        </w:tc>
      </w:tr>
      <w:tr w14:paraId="7E2B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3ABE">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30B7">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第二作者</w:t>
            </w:r>
          </w:p>
        </w:tc>
      </w:tr>
      <w:tr w14:paraId="5AD2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828DE">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非核心期刊</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F767">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独著</w:t>
            </w:r>
          </w:p>
        </w:tc>
      </w:tr>
      <w:tr w14:paraId="7741A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7857A">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63BE">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第一作者</w:t>
            </w:r>
          </w:p>
        </w:tc>
      </w:tr>
      <w:tr w14:paraId="16AAE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D0DC3">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871D">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第二作者</w:t>
            </w:r>
          </w:p>
        </w:tc>
      </w:tr>
      <w:tr w14:paraId="5B26E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0297">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国家级课题</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75A0">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w:t>
            </w:r>
          </w:p>
        </w:tc>
      </w:tr>
      <w:tr w14:paraId="423D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3CD05">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1312">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作为负责人立项且完成</w:t>
            </w:r>
          </w:p>
        </w:tc>
      </w:tr>
      <w:tr w14:paraId="098F0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2AC40">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省部级课题</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0C82">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w:t>
            </w:r>
          </w:p>
        </w:tc>
      </w:tr>
      <w:tr w14:paraId="224B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EB8C4">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510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作为负责人立项且完成</w:t>
            </w:r>
          </w:p>
        </w:tc>
      </w:tr>
      <w:tr w14:paraId="4017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7529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地厅级课题</w:t>
            </w: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9C9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w:t>
            </w:r>
          </w:p>
        </w:tc>
      </w:tr>
      <w:tr w14:paraId="790D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29E36">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3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36E9">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作为负责人立项且完成</w:t>
            </w:r>
          </w:p>
        </w:tc>
      </w:tr>
    </w:tbl>
    <w:p w14:paraId="705C78E3">
      <w:pPr>
        <w:keepNext w:val="0"/>
        <w:keepLines w:val="0"/>
        <w:pageBreakBefore w:val="0"/>
        <w:widowControl/>
        <w:numPr>
          <w:ilvl w:val="0"/>
          <w:numId w:val="1"/>
        </w:numPr>
        <w:kinsoku/>
        <w:wordWrap/>
        <w:overflowPunct/>
        <w:topLinePunct w:val="0"/>
        <w:bidi w:val="0"/>
        <w:snapToGrid/>
        <w:spacing w:line="440" w:lineRule="exact"/>
        <w:ind w:left="1200" w:hanging="72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学术科研能力得分办法</w:t>
      </w:r>
    </w:p>
    <w:p w14:paraId="7848D39B">
      <w:pPr>
        <w:keepNext w:val="0"/>
        <w:keepLines w:val="0"/>
        <w:pageBreakBefore w:val="0"/>
        <w:widowControl/>
        <w:numPr>
          <w:ilvl w:val="0"/>
          <w:numId w:val="0"/>
        </w:numPr>
        <w:kinsoku/>
        <w:wordWrap/>
        <w:overflowPunct/>
        <w:topLinePunct w:val="0"/>
        <w:bidi w:val="0"/>
        <w:snapToGrid/>
        <w:spacing w:line="440" w:lineRule="exact"/>
        <w:ind w:left="480" w:leftChars="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4018E722">
      <w:pPr>
        <w:keepNext w:val="0"/>
        <w:keepLines w:val="0"/>
        <w:pageBreakBefore w:val="0"/>
        <w:kinsoku/>
        <w:wordWrap/>
        <w:overflowPunct/>
        <w:topLinePunct w:val="0"/>
        <w:bidi w:val="0"/>
        <w:snapToGrid/>
        <w:spacing w:line="440" w:lineRule="exact"/>
        <w:rPr>
          <w:rFonts w:hint="default"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说明：须提交佐证材料</w:t>
      </w:r>
      <w:r>
        <w:rPr>
          <w:rFonts w:hint="eastAsia" w:ascii="方正仿宋_GB2312" w:hAnsi="方正仿宋_GB2312" w:eastAsia="方正仿宋_GB2312" w:cs="方正仿宋_GB2312"/>
          <w:color w:val="000000" w:themeColor="text1"/>
          <w:kern w:val="0"/>
          <w:sz w:val="28"/>
          <w:szCs w:val="28"/>
          <w:shd w:val="clear" w:color="auto" w:fill="FFFFFF"/>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具体分值详见附件加分表。</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MA如有艺术创作成果可报两项，提供佐证材料并认定后，根据MFA奖励标准予以加分。</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MA不得申报中期所发表的论文作为评优项，如该论文发表至核心及以上刊物，按计分项加分。</w:t>
      </w:r>
    </w:p>
    <w:p w14:paraId="3F34AF04">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669FCDE1">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60E32833">
      <w:pPr>
        <w:keepNext w:val="0"/>
        <w:keepLines w:val="0"/>
        <w:pageBreakBefore w:val="0"/>
        <w:widowControl/>
        <w:kinsoku/>
        <w:wordWrap/>
        <w:overflowPunct/>
        <w:topLinePunct w:val="0"/>
        <w:bidi w:val="0"/>
        <w:snapToGrid/>
        <w:spacing w:line="440" w:lineRule="exact"/>
        <w:ind w:firstLine="834" w:firstLineChars="298"/>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3、附加分</w:t>
      </w:r>
    </w:p>
    <w:tbl>
      <w:tblPr>
        <w:tblStyle w:val="8"/>
        <w:tblW w:w="6804"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2714"/>
        <w:gridCol w:w="1779"/>
      </w:tblGrid>
      <w:tr w14:paraId="4729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dxa"/>
          </w:tcPr>
          <w:p w14:paraId="74BEF923">
            <w:pPr>
              <w:pStyle w:val="11"/>
              <w:keepNext w:val="0"/>
              <w:keepLines w:val="0"/>
              <w:pageBreakBefore w:val="0"/>
              <w:kinsoku/>
              <w:wordWrap/>
              <w:overflowPunct/>
              <w:topLinePunct w:val="0"/>
              <w:bidi w:val="0"/>
              <w:snapToGrid/>
              <w:spacing w:line="440" w:lineRule="exact"/>
              <w:ind w:firstLine="280" w:firstLineChars="10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附加项目类别</w:t>
            </w:r>
          </w:p>
        </w:tc>
        <w:tc>
          <w:tcPr>
            <w:tcW w:w="2714" w:type="dxa"/>
          </w:tcPr>
          <w:p w14:paraId="655ACED0">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奖励标准</w:t>
            </w:r>
          </w:p>
        </w:tc>
        <w:tc>
          <w:tcPr>
            <w:tcW w:w="1779" w:type="dxa"/>
          </w:tcPr>
          <w:p w14:paraId="3B2898B7">
            <w:pPr>
              <w:keepNext w:val="0"/>
              <w:keepLines w:val="0"/>
              <w:pageBreakBefore w:val="0"/>
              <w:kinsoku/>
              <w:wordWrap/>
              <w:overflowPunct/>
              <w:topLinePunct w:val="0"/>
              <w:bidi w:val="0"/>
              <w:snapToGrid/>
              <w:spacing w:line="440" w:lineRule="exact"/>
              <w:ind w:firstLine="420" w:firstLineChars="15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分值</w:t>
            </w:r>
          </w:p>
        </w:tc>
      </w:tr>
      <w:tr w14:paraId="4862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dxa"/>
            <w:vAlign w:val="center"/>
          </w:tcPr>
          <w:p w14:paraId="1CF7C32D">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承担</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实践</w:t>
            </w: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项目加分</w:t>
            </w:r>
          </w:p>
        </w:tc>
        <w:tc>
          <w:tcPr>
            <w:tcW w:w="2714" w:type="dxa"/>
            <w:vAlign w:val="center"/>
          </w:tcPr>
          <w:p w14:paraId="46B68CC0">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作为项目申请人承担上海戏剧学院研究生创新计划项目</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、扶持计划项目、双尖计划、学工部暑期社会实践项目</w:t>
            </w: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且完成（参与者不计入）</w:t>
            </w:r>
          </w:p>
        </w:tc>
        <w:tc>
          <w:tcPr>
            <w:tcW w:w="1779" w:type="dxa"/>
            <w:vAlign w:val="center"/>
          </w:tcPr>
          <w:p w14:paraId="2CFB0BB9">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2</w:t>
            </w:r>
          </w:p>
        </w:tc>
      </w:tr>
      <w:tr w14:paraId="5E73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311" w:type="dxa"/>
            <w:vMerge w:val="restart"/>
            <w:vAlign w:val="center"/>
          </w:tcPr>
          <w:p w14:paraId="37234548">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4A338575">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实践学分加分</w:t>
            </w:r>
          </w:p>
        </w:tc>
        <w:tc>
          <w:tcPr>
            <w:tcW w:w="2714" w:type="dxa"/>
            <w:vAlign w:val="center"/>
          </w:tcPr>
          <w:p w14:paraId="2652D167">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实践学分</w:t>
            </w:r>
            <w:r>
              <w:rPr>
                <w:rFonts w:hint="eastAsia" w:ascii="方正仿宋_GB2312" w:hAnsi="方正仿宋_GB2312" w:eastAsia="方正仿宋_GB2312" w:cs="方正仿宋_GB2312"/>
                <w:b w:val="0"/>
                <w:bCs/>
                <w:color w:val="000000" w:themeColor="text1"/>
                <w:kern w:val="0"/>
                <w:sz w:val="28"/>
                <w:szCs w:val="28"/>
                <w:shd w:val="clear" w:color="auto" w:fill="FFFFFF"/>
                <w14:textFill>
                  <w14:solidFill>
                    <w14:schemeClr w14:val="tx1"/>
                  </w14:solidFill>
                </w14:textFill>
              </w:rPr>
              <w:t>3</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分及以上</w:t>
            </w:r>
          </w:p>
        </w:tc>
        <w:tc>
          <w:tcPr>
            <w:tcW w:w="1779" w:type="dxa"/>
            <w:vAlign w:val="center"/>
          </w:tcPr>
          <w:p w14:paraId="3D94A41B">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2</w:t>
            </w:r>
          </w:p>
        </w:tc>
      </w:tr>
      <w:tr w14:paraId="10C7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311" w:type="dxa"/>
            <w:vMerge w:val="continue"/>
            <w:vAlign w:val="center"/>
          </w:tcPr>
          <w:p w14:paraId="2FF782F1">
            <w:pPr>
              <w:keepNext w:val="0"/>
              <w:keepLines w:val="0"/>
              <w:pageBreakBefore w:val="0"/>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714" w:type="dxa"/>
            <w:vAlign w:val="center"/>
          </w:tcPr>
          <w:p w14:paraId="49DEC2CF">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实践学分4分及以上</w:t>
            </w:r>
          </w:p>
        </w:tc>
        <w:tc>
          <w:tcPr>
            <w:tcW w:w="1779" w:type="dxa"/>
            <w:vAlign w:val="center"/>
          </w:tcPr>
          <w:p w14:paraId="5E514207">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4</w:t>
            </w:r>
          </w:p>
        </w:tc>
      </w:tr>
      <w:tr w14:paraId="4DDF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311" w:type="dxa"/>
            <w:vMerge w:val="continue"/>
            <w:vAlign w:val="center"/>
          </w:tcPr>
          <w:p w14:paraId="4DBD633D">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714" w:type="dxa"/>
            <w:vAlign w:val="center"/>
          </w:tcPr>
          <w:p w14:paraId="75564B78">
            <w:pPr>
              <w:keepNext w:val="0"/>
              <w:keepLines w:val="0"/>
              <w:pageBreakBefore w:val="0"/>
              <w:widowControl/>
              <w:kinsoku/>
              <w:wordWrap/>
              <w:overflowPunct/>
              <w:topLinePunct w:val="0"/>
              <w:bidi w:val="0"/>
              <w:snapToGrid/>
              <w:spacing w:line="440" w:lineRule="exact"/>
              <w:jc w:val="both"/>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实践学分5分及以上</w:t>
            </w:r>
          </w:p>
        </w:tc>
        <w:tc>
          <w:tcPr>
            <w:tcW w:w="1779" w:type="dxa"/>
            <w:vAlign w:val="center"/>
          </w:tcPr>
          <w:p w14:paraId="6D520C9C">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6</w:t>
            </w:r>
          </w:p>
        </w:tc>
      </w:tr>
    </w:tbl>
    <w:p w14:paraId="341EC423">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p>
    <w:p w14:paraId="75FF3AE6">
      <w:pPr>
        <w:keepNext w:val="0"/>
        <w:keepLines w:val="0"/>
        <w:pageBreakBefore w:val="0"/>
        <w:widowControl/>
        <w:kinsoku/>
        <w:wordWrap/>
        <w:overflowPunct/>
        <w:topLinePunct w:val="0"/>
        <w:bidi w:val="0"/>
        <w:snapToGrid/>
        <w:spacing w:line="440" w:lineRule="exact"/>
        <w:ind w:firstLine="562" w:firstLineChars="200"/>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t>MFA总分=学习成绩得分+艺术创作能力得分+附加分</w:t>
      </w:r>
    </w:p>
    <w:p w14:paraId="00F6DCE9">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1、学习成绩得分办法</w:t>
      </w:r>
    </w:p>
    <w:p w14:paraId="7BC99B2C">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学习成绩得分=所修课程的平均分</w:t>
      </w:r>
    </w:p>
    <w:p w14:paraId="77A982F3">
      <w:pPr>
        <w:keepNext w:val="0"/>
        <w:keepLines w:val="0"/>
        <w:pageBreakBefore w:val="0"/>
        <w:widowControl/>
        <w:kinsoku/>
        <w:wordWrap/>
        <w:overflowPunct/>
        <w:topLinePunct w:val="0"/>
        <w:bidi w:val="0"/>
        <w:snapToGrid/>
        <w:spacing w:line="440" w:lineRule="exact"/>
        <w:ind w:firstLine="560" w:firstLineChars="200"/>
        <w:jc w:val="left"/>
        <w:textAlignment w:val="top"/>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（学习成绩分值按所修研究生部课程的平均分、表演系开设必修课程的平均分</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w:t>
      </w:r>
    </w:p>
    <w:p w14:paraId="36E81531">
      <w:pPr>
        <w:keepNext w:val="0"/>
        <w:keepLines w:val="0"/>
        <w:pageBreakBefore w:val="0"/>
        <w:widowControl/>
        <w:kinsoku/>
        <w:wordWrap/>
        <w:overflowPunct/>
        <w:topLinePunct w:val="0"/>
        <w:bidi w:val="0"/>
        <w:snapToGrid/>
        <w:spacing w:line="440" w:lineRule="exact"/>
        <w:ind w:left="1200" w:hanging="720"/>
        <w:jc w:val="left"/>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2、艺术创作能力得分办法</w:t>
      </w:r>
    </w:p>
    <w:tbl>
      <w:tblPr>
        <w:tblStyle w:val="8"/>
        <w:tblW w:w="6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389"/>
        <w:gridCol w:w="2572"/>
      </w:tblGrid>
      <w:tr w14:paraId="01E0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276" w:type="dxa"/>
          </w:tcPr>
          <w:p w14:paraId="349B5390">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艺术创作类别</w:t>
            </w:r>
          </w:p>
        </w:tc>
        <w:tc>
          <w:tcPr>
            <w:tcW w:w="2389" w:type="dxa"/>
          </w:tcPr>
          <w:p w14:paraId="2602F81E">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承担工作</w:t>
            </w:r>
          </w:p>
        </w:tc>
        <w:tc>
          <w:tcPr>
            <w:tcW w:w="2572" w:type="dxa"/>
          </w:tcPr>
          <w:p w14:paraId="56FE67A1">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具体依据</w:t>
            </w:r>
          </w:p>
        </w:tc>
      </w:tr>
      <w:tr w14:paraId="5E3B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276" w:type="dxa"/>
            <w:vMerge w:val="restart"/>
          </w:tcPr>
          <w:p w14:paraId="45A875B0">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国家级</w:t>
            </w:r>
          </w:p>
        </w:tc>
        <w:tc>
          <w:tcPr>
            <w:tcW w:w="2389" w:type="dxa"/>
            <w:vMerge w:val="restart"/>
          </w:tcPr>
          <w:p w14:paraId="1E096FA7">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5F4ECF32">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1A7BC607">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1C74831A">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6D075412">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4A7352AC">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30A10C02">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作品主创人员（编剧/制作人/导演/主要演员前三位）</w:t>
            </w:r>
          </w:p>
          <w:p w14:paraId="287BDFEC">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3DCE3CEB">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作品获奖</w:t>
            </w:r>
          </w:p>
        </w:tc>
      </w:tr>
      <w:tr w14:paraId="75F3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276" w:type="dxa"/>
            <w:vMerge w:val="continue"/>
          </w:tcPr>
          <w:p w14:paraId="11AFDD8E">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389" w:type="dxa"/>
            <w:vMerge w:val="continue"/>
          </w:tcPr>
          <w:p w14:paraId="0DFC3BAD">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128E47AB">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担任作品主创中任一工作</w:t>
            </w:r>
          </w:p>
        </w:tc>
      </w:tr>
      <w:tr w14:paraId="55B7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276" w:type="dxa"/>
            <w:vMerge w:val="restart"/>
          </w:tcPr>
          <w:p w14:paraId="787D9BE2">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省部级</w:t>
            </w:r>
          </w:p>
        </w:tc>
        <w:tc>
          <w:tcPr>
            <w:tcW w:w="2389" w:type="dxa"/>
            <w:vMerge w:val="continue"/>
          </w:tcPr>
          <w:p w14:paraId="1B1AE224">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564A4B22">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作品获奖</w:t>
            </w:r>
          </w:p>
        </w:tc>
      </w:tr>
      <w:tr w14:paraId="35F3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276" w:type="dxa"/>
            <w:vMerge w:val="continue"/>
          </w:tcPr>
          <w:p w14:paraId="6BAEFF00">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389" w:type="dxa"/>
            <w:vMerge w:val="continue"/>
          </w:tcPr>
          <w:p w14:paraId="2139685D">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4E7F332A">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担任作品主创中任一工作</w:t>
            </w:r>
          </w:p>
        </w:tc>
      </w:tr>
      <w:tr w14:paraId="71E9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276" w:type="dxa"/>
            <w:vMerge w:val="restart"/>
          </w:tcPr>
          <w:p w14:paraId="76754ADD">
            <w:pPr>
              <w:pStyle w:val="11"/>
              <w:keepNext w:val="0"/>
              <w:keepLines w:val="0"/>
              <w:pageBreakBefore w:val="0"/>
              <w:kinsoku/>
              <w:wordWrap/>
              <w:overflowPunct/>
              <w:topLinePunct w:val="0"/>
              <w:bidi w:val="0"/>
              <w:snapToGrid/>
              <w:spacing w:line="440" w:lineRule="exact"/>
              <w:ind w:firstLine="0" w:firstLineChars="0"/>
              <w:jc w:val="cente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市级</w:t>
            </w:r>
          </w:p>
        </w:tc>
        <w:tc>
          <w:tcPr>
            <w:tcW w:w="2389" w:type="dxa"/>
            <w:vMerge w:val="continue"/>
          </w:tcPr>
          <w:p w14:paraId="2A23B195">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772A8A70">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作品获奖</w:t>
            </w:r>
          </w:p>
        </w:tc>
      </w:tr>
      <w:tr w14:paraId="7A5A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276" w:type="dxa"/>
            <w:vMerge w:val="continue"/>
          </w:tcPr>
          <w:p w14:paraId="78A3EAF5">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389" w:type="dxa"/>
            <w:vMerge w:val="continue"/>
          </w:tcPr>
          <w:p w14:paraId="3D03D6E6">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051347AD">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担任作品主创中任一工作</w:t>
            </w:r>
          </w:p>
        </w:tc>
      </w:tr>
      <w:tr w14:paraId="26D1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276" w:type="dxa"/>
            <w:vMerge w:val="restart"/>
          </w:tcPr>
          <w:p w14:paraId="149ACC4F">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1B031111">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024682AF">
            <w:pPr>
              <w:keepNext w:val="0"/>
              <w:keepLines w:val="0"/>
              <w:pageBreakBefore w:val="0"/>
              <w:kinsoku/>
              <w:wordWrap/>
              <w:overflowPunct/>
              <w:topLinePunct w:val="0"/>
              <w:bidi w:val="0"/>
              <w:snapToGrid/>
              <w:spacing w:line="440" w:lineRule="exact"/>
              <w:ind w:firstLine="280" w:firstLineChars="10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校级</w:t>
            </w:r>
          </w:p>
        </w:tc>
        <w:tc>
          <w:tcPr>
            <w:tcW w:w="2389" w:type="dxa"/>
            <w:vMerge w:val="continue"/>
          </w:tcPr>
          <w:p w14:paraId="71AE8DEA">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3D99B264">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作品获得学校举办的各类比赛中一等奖</w:t>
            </w:r>
          </w:p>
        </w:tc>
      </w:tr>
      <w:tr w14:paraId="54CC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276" w:type="dxa"/>
            <w:vMerge w:val="continue"/>
          </w:tcPr>
          <w:p w14:paraId="22D6ABDB">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389" w:type="dxa"/>
            <w:vMerge w:val="continue"/>
          </w:tcPr>
          <w:p w14:paraId="27C73D1E">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tc>
        <w:tc>
          <w:tcPr>
            <w:tcW w:w="2572" w:type="dxa"/>
          </w:tcPr>
          <w:p w14:paraId="36368CD7">
            <w:pPr>
              <w:pStyle w:val="11"/>
              <w:keepNext w:val="0"/>
              <w:keepLines w:val="0"/>
              <w:pageBreakBefore w:val="0"/>
              <w:kinsoku/>
              <w:wordWrap/>
              <w:overflowPunct/>
              <w:topLinePunct w:val="0"/>
              <w:bidi w:val="0"/>
              <w:snapToGrid/>
              <w:spacing w:line="440" w:lineRule="exact"/>
              <w:ind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作品获得学校举办的各类比赛中二等奖、三等奖、优秀奖</w:t>
            </w:r>
          </w:p>
        </w:tc>
      </w:tr>
    </w:tbl>
    <w:p w14:paraId="312B3838">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说明：须提交佐证材料。MFA如有学术科研成果可报两项，提供佐证材料并认定后，根据MA奖励标准予以加分。</w:t>
      </w:r>
    </w:p>
    <w:p w14:paraId="3674EBD9">
      <w:pPr>
        <w:keepNext w:val="0"/>
        <w:keepLines w:val="0"/>
        <w:pageBreakBefore w:val="0"/>
        <w:kinsoku/>
        <w:wordWrap/>
        <w:overflowPunct/>
        <w:topLinePunct w:val="0"/>
        <w:bidi w:val="0"/>
        <w:snapToGrid/>
        <w:spacing w:line="440" w:lineRule="exact"/>
        <w:ind w:left="598" w:leftChars="285" w:firstLine="141" w:firstLineChars="50"/>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p>
    <w:p w14:paraId="03DB4DA1">
      <w:pPr>
        <w:keepNext w:val="0"/>
        <w:keepLines w:val="0"/>
        <w:pageBreakBefore w:val="0"/>
        <w:kinsoku/>
        <w:wordWrap/>
        <w:overflowPunct/>
        <w:topLinePunct w:val="0"/>
        <w:bidi w:val="0"/>
        <w:snapToGrid/>
        <w:spacing w:line="440" w:lineRule="exact"/>
        <w:ind w:firstLine="280" w:firstLineChars="10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3</w:t>
      </w: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、附加分</w:t>
      </w:r>
    </w:p>
    <w:tbl>
      <w:tblPr>
        <w:tblStyle w:val="8"/>
        <w:tblW w:w="6804"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2714"/>
        <w:gridCol w:w="1779"/>
      </w:tblGrid>
      <w:tr w14:paraId="29A2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dxa"/>
          </w:tcPr>
          <w:p w14:paraId="70E3732D">
            <w:pPr>
              <w:pStyle w:val="11"/>
              <w:keepNext w:val="0"/>
              <w:keepLines w:val="0"/>
              <w:pageBreakBefore w:val="0"/>
              <w:kinsoku/>
              <w:wordWrap/>
              <w:overflowPunct/>
              <w:topLinePunct w:val="0"/>
              <w:bidi w:val="0"/>
              <w:snapToGrid/>
              <w:spacing w:line="440" w:lineRule="exact"/>
              <w:ind w:firstLine="280" w:firstLineChars="10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附加项目类别</w:t>
            </w:r>
          </w:p>
        </w:tc>
        <w:tc>
          <w:tcPr>
            <w:tcW w:w="2714" w:type="dxa"/>
          </w:tcPr>
          <w:p w14:paraId="5E6F29E4">
            <w:pPr>
              <w:pStyle w:val="11"/>
              <w:keepNext w:val="0"/>
              <w:keepLines w:val="0"/>
              <w:pageBreakBefore w:val="0"/>
              <w:kinsoku/>
              <w:wordWrap/>
              <w:overflowPunct/>
              <w:topLinePunct w:val="0"/>
              <w:bidi w:val="0"/>
              <w:snapToGrid/>
              <w:spacing w:line="440" w:lineRule="exact"/>
              <w:ind w:firstLine="48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奖励标准</w:t>
            </w:r>
          </w:p>
        </w:tc>
        <w:tc>
          <w:tcPr>
            <w:tcW w:w="1779" w:type="dxa"/>
          </w:tcPr>
          <w:p w14:paraId="027BE0FC">
            <w:pPr>
              <w:keepNext w:val="0"/>
              <w:keepLines w:val="0"/>
              <w:pageBreakBefore w:val="0"/>
              <w:kinsoku/>
              <w:wordWrap/>
              <w:overflowPunct/>
              <w:topLinePunct w:val="0"/>
              <w:bidi w:val="0"/>
              <w:snapToGrid/>
              <w:spacing w:line="440" w:lineRule="exact"/>
              <w:ind w:firstLine="420" w:firstLineChars="15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分值</w:t>
            </w:r>
          </w:p>
        </w:tc>
      </w:tr>
      <w:tr w14:paraId="493F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2311" w:type="dxa"/>
            <w:vAlign w:val="center"/>
          </w:tcPr>
          <w:p w14:paraId="17860A0F">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参与实践</w:t>
            </w: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项目加分</w:t>
            </w:r>
          </w:p>
        </w:tc>
        <w:tc>
          <w:tcPr>
            <w:tcW w:w="2714" w:type="dxa"/>
            <w:vAlign w:val="center"/>
          </w:tcPr>
          <w:p w14:paraId="7F9DD219">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lang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参与</w:t>
            </w: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上海戏剧学院研究生创新计划项目</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、扶持计划项目、双尖计划、学工部暑期社会实践项目</w:t>
            </w: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且</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完成。</w:t>
            </w:r>
          </w:p>
        </w:tc>
        <w:tc>
          <w:tcPr>
            <w:tcW w:w="1779" w:type="dxa"/>
            <w:vAlign w:val="center"/>
          </w:tcPr>
          <w:p w14:paraId="7EB11234">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t>2</w:t>
            </w:r>
          </w:p>
        </w:tc>
      </w:tr>
      <w:tr w14:paraId="1EC7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2311" w:type="dxa"/>
            <w:vAlign w:val="center"/>
          </w:tcPr>
          <w:p w14:paraId="61F7BC10">
            <w:pPr>
              <w:keepNext w:val="0"/>
              <w:keepLines w:val="0"/>
              <w:pageBreakBefore w:val="0"/>
              <w:widowControl/>
              <w:kinsoku/>
              <w:wordWrap/>
              <w:overflowPunct/>
              <w:topLinePunct w:val="0"/>
              <w:bidi w:val="0"/>
              <w:snapToGrid/>
              <w:spacing w:line="440" w:lineRule="exact"/>
              <w:jc w:val="center"/>
              <w:textAlignment w:val="top"/>
              <w:rPr>
                <w:rFonts w:hint="eastAsia" w:ascii="方正仿宋_GB2312" w:hAnsi="方正仿宋_GB2312" w:eastAsia="方正仿宋_GB2312" w:cs="方正仿宋_GB2312"/>
                <w:color w:val="000000" w:themeColor="text1"/>
                <w:kern w:val="0"/>
                <w:sz w:val="28"/>
                <w:szCs w:val="28"/>
                <w:shd w:val="clear" w:color="auto" w:fill="FFFFFF"/>
                <w:lang w:val="en-US" w:eastAsia="zh-Hans"/>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实践学分加分</w:t>
            </w:r>
          </w:p>
        </w:tc>
        <w:tc>
          <w:tcPr>
            <w:tcW w:w="2714" w:type="dxa"/>
            <w:vAlign w:val="center"/>
          </w:tcPr>
          <w:p w14:paraId="04397E95">
            <w:pPr>
              <w:keepNext w:val="0"/>
              <w:keepLines w:val="0"/>
              <w:pageBreakBefore w:val="0"/>
              <w:widowControl/>
              <w:kinsoku/>
              <w:wordWrap/>
              <w:overflowPunct/>
              <w:topLinePunct w:val="0"/>
              <w:bidi w:val="0"/>
              <w:snapToGrid/>
              <w:spacing w:line="440" w:lineRule="exact"/>
              <w:jc w:val="center"/>
              <w:textAlignment w:val="top"/>
              <w:rPr>
                <w:rFonts w:hint="default"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按公示当学年第二课堂学分加分</w:t>
            </w:r>
          </w:p>
        </w:tc>
        <w:tc>
          <w:tcPr>
            <w:tcW w:w="1779" w:type="dxa"/>
            <w:vAlign w:val="center"/>
          </w:tcPr>
          <w:p w14:paraId="58EF2E32">
            <w:pPr>
              <w:keepNext w:val="0"/>
              <w:keepLines w:val="0"/>
              <w:pageBreakBefore w:val="0"/>
              <w:widowControl/>
              <w:kinsoku/>
              <w:wordWrap/>
              <w:overflowPunct/>
              <w:topLinePunct w:val="0"/>
              <w:bidi w:val="0"/>
              <w:snapToGrid/>
              <w:spacing w:line="440" w:lineRule="exact"/>
              <w:jc w:val="center"/>
              <w:textAlignment w:val="top"/>
              <w:rPr>
                <w:rFonts w:hint="default"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年实际得分</w:t>
            </w:r>
          </w:p>
        </w:tc>
      </w:tr>
    </w:tbl>
    <w:p w14:paraId="0167519B">
      <w:pPr>
        <w:pStyle w:val="11"/>
        <w:keepNext w:val="0"/>
        <w:keepLines w:val="0"/>
        <w:pageBreakBefore w:val="0"/>
        <w:kinsoku/>
        <w:wordWrap/>
        <w:overflowPunct/>
        <w:topLinePunct w:val="0"/>
        <w:bidi w:val="0"/>
        <w:snapToGrid/>
        <w:spacing w:line="440" w:lineRule="exact"/>
        <w:ind w:left="432" w:firstLine="0" w:firstLineChars="0"/>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pPr>
    </w:p>
    <w:p w14:paraId="6D07AD87">
      <w:pPr>
        <w:keepNext w:val="0"/>
        <w:keepLines w:val="0"/>
        <w:pageBreakBefore w:val="0"/>
        <w:kinsoku/>
        <w:wordWrap/>
        <w:overflowPunct/>
        <w:topLinePunct w:val="0"/>
        <w:bidi w:val="0"/>
        <w:snapToGrid/>
        <w:spacing w:line="440" w:lineRule="exact"/>
        <w:rPr>
          <w:rFonts w:hint="default"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shd w:val="clear" w:color="auto" w:fill="FFFFFF"/>
          <w14:textFill>
            <w14:solidFill>
              <w14:schemeClr w14:val="tx1"/>
            </w14:solidFill>
          </w14:textFill>
        </w:rPr>
        <w:t>说明：</w:t>
      </w:r>
      <w:r>
        <w:rPr>
          <w:rFonts w:hint="eastAsia" w:ascii="方正仿宋_GB2312" w:hAnsi="方正仿宋_GB2312" w:eastAsia="方正仿宋_GB2312" w:cs="方正仿宋_GB2312"/>
          <w:color w:val="000000" w:themeColor="text1"/>
          <w:kern w:val="0"/>
          <w:sz w:val="28"/>
          <w:szCs w:val="28"/>
          <w:shd w:val="clear" w:color="auto" w:fill="FFFFFF"/>
          <w:lang w:val="en-US" w:eastAsia="zh-CN"/>
          <w14:textFill>
            <w14:solidFill>
              <w14:schemeClr w14:val="tx1"/>
            </w14:solidFill>
          </w14:textFill>
        </w:rPr>
        <w:t>项目获奖与参与不重复算分，以获奖最高得分为准。</w:t>
      </w:r>
    </w:p>
    <w:p w14:paraId="63C920D3">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p>
    <w:p w14:paraId="64BC467E">
      <w:pPr>
        <w:keepNext w:val="0"/>
        <w:keepLines w:val="0"/>
        <w:pageBreakBefore w:val="0"/>
        <w:widowControl/>
        <w:kinsoku/>
        <w:wordWrap/>
        <w:overflowPunct/>
        <w:topLinePunct w:val="0"/>
        <w:bidi w:val="0"/>
        <w:snapToGrid/>
        <w:spacing w:line="440" w:lineRule="exact"/>
        <w:jc w:val="left"/>
        <w:textAlignment w:val="top"/>
        <w:rPr>
          <w:rFonts w:hint="eastAsia" w:ascii="方正仿宋_GB2312" w:hAnsi="方正仿宋_GB2312" w:eastAsia="方正仿宋_GB2312" w:cs="方正仿宋_GB2312"/>
          <w:b/>
          <w:color w:val="000000" w:themeColor="text1"/>
          <w:kern w:val="0"/>
          <w:sz w:val="28"/>
          <w:szCs w:val="28"/>
          <w:shd w:val="clear" w:color="auto" w:fill="FFFFFF"/>
          <w14:textFill>
            <w14:solidFill>
              <w14:schemeClr w14:val="tx1"/>
            </w14:solidFill>
          </w14:textFill>
        </w:rPr>
      </w:pPr>
    </w:p>
    <w:p w14:paraId="3B1F6442">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sz w:val="28"/>
          <w:szCs w:val="28"/>
          <w14:textFill>
            <w14:solidFill>
              <w14:schemeClr w14:val="tx1"/>
            </w14:solidFill>
          </w14:textFill>
        </w:rPr>
      </w:pPr>
    </w:p>
    <w:p w14:paraId="41797572">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t>附录：加分细则</w:t>
      </w:r>
    </w:p>
    <w:tbl>
      <w:tblPr>
        <w:tblStyle w:val="7"/>
        <w:tblW w:w="9030" w:type="dxa"/>
        <w:tblInd w:w="0" w:type="dxa"/>
        <w:tblLayout w:type="fixed"/>
        <w:tblCellMar>
          <w:top w:w="0" w:type="dxa"/>
          <w:left w:w="108" w:type="dxa"/>
          <w:bottom w:w="0" w:type="dxa"/>
          <w:right w:w="108" w:type="dxa"/>
        </w:tblCellMar>
      </w:tblPr>
      <w:tblGrid>
        <w:gridCol w:w="2367"/>
        <w:gridCol w:w="1134"/>
        <w:gridCol w:w="1701"/>
        <w:gridCol w:w="851"/>
        <w:gridCol w:w="1134"/>
        <w:gridCol w:w="992"/>
        <w:gridCol w:w="851"/>
      </w:tblGrid>
      <w:tr w14:paraId="4C430250">
        <w:tblPrEx>
          <w:tblCellMar>
            <w:top w:w="0" w:type="dxa"/>
            <w:left w:w="108" w:type="dxa"/>
            <w:bottom w:w="0" w:type="dxa"/>
            <w:right w:w="108" w:type="dxa"/>
          </w:tblCellMar>
        </w:tblPrEx>
        <w:trPr>
          <w:trHeight w:val="345" w:hRule="atLeast"/>
        </w:trPr>
        <w:tc>
          <w:tcPr>
            <w:tcW w:w="9030" w:type="dxa"/>
            <w:gridSpan w:val="7"/>
            <w:tcBorders>
              <w:top w:val="nil"/>
              <w:left w:val="nil"/>
              <w:bottom w:val="single" w:color="auto" w:sz="8" w:space="0"/>
              <w:right w:val="nil"/>
            </w:tcBorders>
            <w:shd w:val="clear" w:color="auto" w:fill="auto"/>
            <w:noWrap/>
            <w:vAlign w:val="center"/>
          </w:tcPr>
          <w:p w14:paraId="5A07F69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论文加分细则（试行）</w:t>
            </w:r>
          </w:p>
        </w:tc>
      </w:tr>
      <w:tr w14:paraId="22C5AABF">
        <w:tblPrEx>
          <w:tblCellMar>
            <w:top w:w="0" w:type="dxa"/>
            <w:left w:w="108" w:type="dxa"/>
            <w:bottom w:w="0" w:type="dxa"/>
            <w:right w:w="108" w:type="dxa"/>
          </w:tblCellMar>
        </w:tblPrEx>
        <w:trPr>
          <w:trHeight w:val="705" w:hRule="atLeast"/>
        </w:trPr>
        <w:tc>
          <w:tcPr>
            <w:tcW w:w="2367" w:type="dxa"/>
            <w:tcBorders>
              <w:top w:val="nil"/>
              <w:left w:val="single" w:color="auto" w:sz="8" w:space="0"/>
              <w:bottom w:val="single" w:color="auto" w:sz="4" w:space="0"/>
              <w:right w:val="single" w:color="auto" w:sz="4" w:space="0"/>
            </w:tcBorders>
            <w:shd w:val="clear" w:color="auto" w:fill="auto"/>
            <w:noWrap/>
            <w:vAlign w:val="center"/>
          </w:tcPr>
          <w:p w14:paraId="44525ED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课题、学术论文类别</w:t>
            </w:r>
          </w:p>
        </w:tc>
        <w:tc>
          <w:tcPr>
            <w:tcW w:w="1134" w:type="dxa"/>
            <w:tcBorders>
              <w:top w:val="nil"/>
              <w:left w:val="nil"/>
              <w:bottom w:val="single" w:color="auto" w:sz="4" w:space="0"/>
              <w:right w:val="single" w:color="auto" w:sz="4" w:space="0"/>
            </w:tcBorders>
            <w:shd w:val="clear" w:color="auto" w:fill="auto"/>
            <w:noWrap/>
            <w:vAlign w:val="center"/>
          </w:tcPr>
          <w:p w14:paraId="46970C24">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 xml:space="preserve">类别 </w:t>
            </w:r>
          </w:p>
        </w:tc>
        <w:tc>
          <w:tcPr>
            <w:tcW w:w="1701" w:type="dxa"/>
            <w:tcBorders>
              <w:top w:val="nil"/>
              <w:left w:val="nil"/>
              <w:bottom w:val="single" w:color="auto" w:sz="4" w:space="0"/>
              <w:right w:val="single" w:color="auto" w:sz="4" w:space="0"/>
            </w:tcBorders>
            <w:shd w:val="clear" w:color="auto" w:fill="auto"/>
            <w:noWrap/>
            <w:vAlign w:val="center"/>
          </w:tcPr>
          <w:p w14:paraId="368A4A9B">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 xml:space="preserve">字数 </w:t>
            </w:r>
          </w:p>
        </w:tc>
        <w:tc>
          <w:tcPr>
            <w:tcW w:w="851" w:type="dxa"/>
            <w:tcBorders>
              <w:top w:val="nil"/>
              <w:left w:val="nil"/>
              <w:bottom w:val="single" w:color="auto" w:sz="4" w:space="0"/>
              <w:right w:val="single" w:color="auto" w:sz="4" w:space="0"/>
            </w:tcBorders>
            <w:shd w:val="clear" w:color="auto" w:fill="auto"/>
            <w:noWrap/>
            <w:vAlign w:val="center"/>
          </w:tcPr>
          <w:p w14:paraId="73A55BD2">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独著</w:t>
            </w:r>
          </w:p>
        </w:tc>
        <w:tc>
          <w:tcPr>
            <w:tcW w:w="1134" w:type="dxa"/>
            <w:tcBorders>
              <w:top w:val="nil"/>
              <w:left w:val="nil"/>
              <w:bottom w:val="single" w:color="auto" w:sz="4" w:space="0"/>
              <w:right w:val="single" w:color="auto" w:sz="4" w:space="0"/>
            </w:tcBorders>
            <w:shd w:val="clear" w:color="auto" w:fill="auto"/>
            <w:noWrap/>
            <w:vAlign w:val="center"/>
          </w:tcPr>
          <w:p w14:paraId="54AA953B">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第一作者</w:t>
            </w:r>
          </w:p>
        </w:tc>
        <w:tc>
          <w:tcPr>
            <w:tcW w:w="992" w:type="dxa"/>
            <w:tcBorders>
              <w:top w:val="nil"/>
              <w:left w:val="nil"/>
              <w:bottom w:val="single" w:color="auto" w:sz="4" w:space="0"/>
              <w:right w:val="single" w:color="auto" w:sz="4" w:space="0"/>
            </w:tcBorders>
            <w:shd w:val="clear" w:color="auto" w:fill="auto"/>
            <w:noWrap/>
            <w:vAlign w:val="center"/>
          </w:tcPr>
          <w:p w14:paraId="2409B86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第二作者</w:t>
            </w:r>
          </w:p>
        </w:tc>
        <w:tc>
          <w:tcPr>
            <w:tcW w:w="851" w:type="dxa"/>
            <w:tcBorders>
              <w:top w:val="nil"/>
              <w:left w:val="nil"/>
              <w:bottom w:val="single" w:color="auto" w:sz="4" w:space="0"/>
              <w:right w:val="single" w:color="auto" w:sz="8" w:space="0"/>
            </w:tcBorders>
            <w:shd w:val="clear" w:color="auto" w:fill="auto"/>
            <w:noWrap/>
            <w:vAlign w:val="center"/>
          </w:tcPr>
          <w:p w14:paraId="04F3035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备注</w:t>
            </w:r>
          </w:p>
        </w:tc>
      </w:tr>
      <w:tr w14:paraId="4026BDD5">
        <w:tblPrEx>
          <w:tblCellMar>
            <w:top w:w="0" w:type="dxa"/>
            <w:left w:w="108" w:type="dxa"/>
            <w:bottom w:w="0" w:type="dxa"/>
            <w:right w:w="108" w:type="dxa"/>
          </w:tblCellMar>
        </w:tblPrEx>
        <w:trPr>
          <w:trHeight w:val="838" w:hRule="atLeast"/>
        </w:trPr>
        <w:tc>
          <w:tcPr>
            <w:tcW w:w="2367" w:type="dxa"/>
            <w:tcBorders>
              <w:top w:val="nil"/>
              <w:left w:val="single" w:color="auto" w:sz="8" w:space="0"/>
              <w:bottom w:val="nil"/>
              <w:right w:val="single" w:color="auto" w:sz="4" w:space="0"/>
            </w:tcBorders>
            <w:shd w:val="clear" w:color="auto" w:fill="auto"/>
            <w:noWrap/>
            <w:vAlign w:val="center"/>
          </w:tcPr>
          <w:p w14:paraId="1051E53E">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核心期刊</w:t>
            </w:r>
            <w:r>
              <w:rPr>
                <w:rFonts w:hint="eastAsia" w:ascii="方正仿宋_GB2312" w:hAnsi="方正仿宋_GB2312" w:eastAsia="方正仿宋_GB2312" w:cs="方正仿宋_GB2312"/>
                <w:color w:val="000000" w:themeColor="text1"/>
                <w:kern w:val="0"/>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I类</w:t>
            </w:r>
            <w:r>
              <w:rPr>
                <w:rFonts w:hint="eastAsia" w:ascii="方正仿宋_GB2312" w:hAnsi="方正仿宋_GB2312" w:eastAsia="方正仿宋_GB2312" w:cs="方正仿宋_GB2312"/>
                <w:color w:val="000000" w:themeColor="text1"/>
                <w:kern w:val="0"/>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xml:space="preserve"> </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724DB89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论文</w:t>
            </w:r>
          </w:p>
        </w:tc>
        <w:tc>
          <w:tcPr>
            <w:tcW w:w="1701" w:type="dxa"/>
            <w:tcBorders>
              <w:top w:val="nil"/>
              <w:left w:val="nil"/>
              <w:bottom w:val="nil"/>
              <w:right w:val="single" w:color="auto" w:sz="4" w:space="0"/>
            </w:tcBorders>
            <w:shd w:val="clear" w:color="auto" w:fill="auto"/>
            <w:noWrap/>
            <w:vAlign w:val="center"/>
          </w:tcPr>
          <w:p w14:paraId="2514D49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5000字以上</w:t>
            </w:r>
          </w:p>
        </w:tc>
        <w:tc>
          <w:tcPr>
            <w:tcW w:w="851" w:type="dxa"/>
            <w:tcBorders>
              <w:top w:val="nil"/>
              <w:left w:val="nil"/>
              <w:bottom w:val="nil"/>
              <w:right w:val="single" w:color="auto" w:sz="4" w:space="0"/>
            </w:tcBorders>
            <w:shd w:val="clear" w:color="000000" w:fill="FFFFFF"/>
            <w:noWrap/>
            <w:vAlign w:val="center"/>
          </w:tcPr>
          <w:p w14:paraId="401F9C0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12-15</w:t>
            </w:r>
          </w:p>
        </w:tc>
        <w:tc>
          <w:tcPr>
            <w:tcW w:w="1134" w:type="dxa"/>
            <w:tcBorders>
              <w:top w:val="nil"/>
              <w:left w:val="nil"/>
              <w:bottom w:val="nil"/>
              <w:right w:val="single" w:color="auto" w:sz="4" w:space="0"/>
            </w:tcBorders>
            <w:shd w:val="clear" w:color="auto" w:fill="auto"/>
            <w:noWrap/>
            <w:vAlign w:val="center"/>
          </w:tcPr>
          <w:p w14:paraId="39AF248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8-11</w:t>
            </w:r>
          </w:p>
        </w:tc>
        <w:tc>
          <w:tcPr>
            <w:tcW w:w="992" w:type="dxa"/>
            <w:tcBorders>
              <w:top w:val="nil"/>
              <w:left w:val="nil"/>
              <w:bottom w:val="nil"/>
              <w:right w:val="single" w:color="auto" w:sz="4" w:space="0"/>
            </w:tcBorders>
            <w:shd w:val="clear" w:color="auto" w:fill="auto"/>
            <w:noWrap/>
            <w:vAlign w:val="center"/>
          </w:tcPr>
          <w:p w14:paraId="0724A31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4-7</w:t>
            </w:r>
          </w:p>
        </w:tc>
        <w:tc>
          <w:tcPr>
            <w:tcW w:w="851" w:type="dxa"/>
            <w:tcBorders>
              <w:top w:val="nil"/>
              <w:left w:val="nil"/>
              <w:bottom w:val="single" w:color="auto" w:sz="4" w:space="0"/>
              <w:right w:val="single" w:color="auto" w:sz="8" w:space="0"/>
            </w:tcBorders>
            <w:shd w:val="clear" w:color="auto" w:fill="auto"/>
            <w:noWrap/>
            <w:vAlign w:val="center"/>
          </w:tcPr>
          <w:p w14:paraId="6ADED3C1">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209CDCA6">
        <w:tblPrEx>
          <w:tblCellMar>
            <w:top w:w="0" w:type="dxa"/>
            <w:left w:w="108" w:type="dxa"/>
            <w:bottom w:w="0" w:type="dxa"/>
            <w:right w:w="108" w:type="dxa"/>
          </w:tblCellMar>
        </w:tblPrEx>
        <w:trPr>
          <w:trHeight w:val="695" w:hRule="atLeast"/>
        </w:trPr>
        <w:tc>
          <w:tcPr>
            <w:tcW w:w="2367" w:type="dxa"/>
            <w:tcBorders>
              <w:top w:val="nil"/>
              <w:left w:val="single" w:color="auto" w:sz="8" w:space="0"/>
              <w:bottom w:val="single" w:color="auto" w:sz="4" w:space="0"/>
              <w:right w:val="single" w:color="auto" w:sz="4" w:space="0"/>
            </w:tcBorders>
            <w:shd w:val="clear" w:color="auto" w:fill="auto"/>
            <w:vAlign w:val="center"/>
          </w:tcPr>
          <w:p w14:paraId="2F041A6F">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南大核心期刊（包括集刊和扩展版、人大转载）</w:t>
            </w:r>
          </w:p>
        </w:tc>
        <w:tc>
          <w:tcPr>
            <w:tcW w:w="1134" w:type="dxa"/>
            <w:vMerge w:val="continue"/>
            <w:tcBorders>
              <w:top w:val="nil"/>
              <w:left w:val="single" w:color="auto" w:sz="4" w:space="0"/>
              <w:bottom w:val="single" w:color="000000" w:sz="4" w:space="0"/>
              <w:right w:val="single" w:color="auto" w:sz="4" w:space="0"/>
            </w:tcBorders>
            <w:vAlign w:val="center"/>
          </w:tcPr>
          <w:p w14:paraId="4A42962A">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31E86E5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5000字以下</w:t>
            </w:r>
          </w:p>
        </w:tc>
        <w:tc>
          <w:tcPr>
            <w:tcW w:w="851" w:type="dxa"/>
            <w:tcBorders>
              <w:top w:val="single" w:color="auto" w:sz="4" w:space="0"/>
              <w:left w:val="nil"/>
              <w:bottom w:val="single" w:color="auto" w:sz="4" w:space="0"/>
              <w:right w:val="single" w:color="auto" w:sz="4" w:space="0"/>
            </w:tcBorders>
            <w:shd w:val="clear" w:color="000000" w:fill="FFFFFF"/>
            <w:noWrap/>
            <w:vAlign w:val="center"/>
          </w:tcPr>
          <w:p w14:paraId="4D03879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5-11</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45ECED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4-7</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58CE4FFE">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2-3</w:t>
            </w:r>
          </w:p>
        </w:tc>
        <w:tc>
          <w:tcPr>
            <w:tcW w:w="851" w:type="dxa"/>
            <w:tcBorders>
              <w:top w:val="nil"/>
              <w:left w:val="nil"/>
              <w:bottom w:val="single" w:color="auto" w:sz="4" w:space="0"/>
              <w:right w:val="single" w:color="auto" w:sz="8" w:space="0"/>
            </w:tcBorders>
            <w:shd w:val="clear" w:color="auto" w:fill="auto"/>
            <w:noWrap/>
            <w:vAlign w:val="center"/>
          </w:tcPr>
          <w:p w14:paraId="00DEA7C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43B0DBC6">
        <w:tblPrEx>
          <w:tblCellMar>
            <w:top w:w="0" w:type="dxa"/>
            <w:left w:w="108" w:type="dxa"/>
            <w:bottom w:w="0" w:type="dxa"/>
            <w:right w:w="108" w:type="dxa"/>
          </w:tblCellMar>
        </w:tblPrEx>
        <w:trPr>
          <w:trHeight w:val="435" w:hRule="atLeast"/>
        </w:trPr>
        <w:tc>
          <w:tcPr>
            <w:tcW w:w="2367" w:type="dxa"/>
            <w:vMerge w:val="restart"/>
            <w:tcBorders>
              <w:top w:val="nil"/>
              <w:left w:val="single" w:color="auto" w:sz="8" w:space="0"/>
              <w:bottom w:val="single" w:color="000000" w:sz="4" w:space="0"/>
              <w:right w:val="single" w:color="auto" w:sz="4" w:space="0"/>
            </w:tcBorders>
            <w:shd w:val="clear" w:color="auto" w:fill="auto"/>
            <w:vAlign w:val="center"/>
          </w:tcPr>
          <w:p w14:paraId="56A5407B">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北大核心期刊、重要报纸的理论版、外国学术期刊</w:t>
            </w:r>
            <w:r>
              <w:rPr>
                <w:rFonts w:hint="eastAsia" w:ascii="方正仿宋_GB2312" w:hAnsi="方正仿宋_GB2312" w:eastAsia="方正仿宋_GB2312" w:cs="方正仿宋_GB2312"/>
                <w:color w:val="000000" w:themeColor="text1"/>
                <w:kern w:val="0"/>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II类</w:t>
            </w:r>
            <w:r>
              <w:rPr>
                <w:rFonts w:hint="eastAsia" w:ascii="方正仿宋_GB2312" w:hAnsi="方正仿宋_GB2312" w:eastAsia="方正仿宋_GB2312" w:cs="方正仿宋_GB2312"/>
                <w:color w:val="000000" w:themeColor="text1"/>
                <w:kern w:val="0"/>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xml:space="preserve"> </w:t>
            </w: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7305B7C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论文</w:t>
            </w:r>
          </w:p>
        </w:tc>
        <w:tc>
          <w:tcPr>
            <w:tcW w:w="1701" w:type="dxa"/>
            <w:tcBorders>
              <w:top w:val="nil"/>
              <w:left w:val="nil"/>
              <w:bottom w:val="single" w:color="auto" w:sz="4" w:space="0"/>
              <w:right w:val="single" w:color="auto" w:sz="4" w:space="0"/>
            </w:tcBorders>
            <w:shd w:val="clear" w:color="auto" w:fill="auto"/>
            <w:noWrap/>
            <w:vAlign w:val="center"/>
          </w:tcPr>
          <w:p w14:paraId="291AC30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5000字以上</w:t>
            </w:r>
          </w:p>
        </w:tc>
        <w:tc>
          <w:tcPr>
            <w:tcW w:w="851" w:type="dxa"/>
            <w:tcBorders>
              <w:top w:val="nil"/>
              <w:left w:val="nil"/>
              <w:bottom w:val="single" w:color="auto" w:sz="4" w:space="0"/>
              <w:right w:val="single" w:color="auto" w:sz="4" w:space="0"/>
            </w:tcBorders>
            <w:shd w:val="clear" w:color="000000" w:fill="FFFFFF"/>
            <w:noWrap/>
            <w:vAlign w:val="center"/>
          </w:tcPr>
          <w:p w14:paraId="5384ABC8">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8-10</w:t>
            </w:r>
          </w:p>
        </w:tc>
        <w:tc>
          <w:tcPr>
            <w:tcW w:w="1134" w:type="dxa"/>
            <w:tcBorders>
              <w:top w:val="nil"/>
              <w:left w:val="nil"/>
              <w:bottom w:val="single" w:color="auto" w:sz="4" w:space="0"/>
              <w:right w:val="single" w:color="auto" w:sz="4" w:space="0"/>
            </w:tcBorders>
            <w:shd w:val="clear" w:color="auto" w:fill="auto"/>
            <w:noWrap/>
            <w:vAlign w:val="center"/>
          </w:tcPr>
          <w:p w14:paraId="7F360CBA">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4-7</w:t>
            </w:r>
          </w:p>
        </w:tc>
        <w:tc>
          <w:tcPr>
            <w:tcW w:w="992" w:type="dxa"/>
            <w:tcBorders>
              <w:top w:val="nil"/>
              <w:left w:val="nil"/>
              <w:bottom w:val="single" w:color="auto" w:sz="4" w:space="0"/>
              <w:right w:val="single" w:color="auto" w:sz="4" w:space="0"/>
            </w:tcBorders>
            <w:shd w:val="clear" w:color="auto" w:fill="auto"/>
            <w:noWrap/>
            <w:vAlign w:val="center"/>
          </w:tcPr>
          <w:p w14:paraId="362777F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2-3</w:t>
            </w:r>
          </w:p>
        </w:tc>
        <w:tc>
          <w:tcPr>
            <w:tcW w:w="851" w:type="dxa"/>
            <w:tcBorders>
              <w:top w:val="nil"/>
              <w:left w:val="nil"/>
              <w:bottom w:val="single" w:color="auto" w:sz="4" w:space="0"/>
              <w:right w:val="single" w:color="auto" w:sz="8" w:space="0"/>
            </w:tcBorders>
            <w:shd w:val="clear" w:color="auto" w:fill="auto"/>
            <w:noWrap/>
            <w:vAlign w:val="center"/>
          </w:tcPr>
          <w:p w14:paraId="38E52101">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01C6E6DF">
        <w:tblPrEx>
          <w:tblCellMar>
            <w:top w:w="0" w:type="dxa"/>
            <w:left w:w="108" w:type="dxa"/>
            <w:bottom w:w="0" w:type="dxa"/>
            <w:right w:w="108" w:type="dxa"/>
          </w:tblCellMar>
        </w:tblPrEx>
        <w:trPr>
          <w:trHeight w:val="465" w:hRule="atLeast"/>
        </w:trPr>
        <w:tc>
          <w:tcPr>
            <w:tcW w:w="2367" w:type="dxa"/>
            <w:vMerge w:val="continue"/>
            <w:tcBorders>
              <w:top w:val="nil"/>
              <w:left w:val="single" w:color="auto" w:sz="8" w:space="0"/>
              <w:bottom w:val="single" w:color="000000" w:sz="4" w:space="0"/>
              <w:right w:val="single" w:color="auto" w:sz="4" w:space="0"/>
            </w:tcBorders>
            <w:vAlign w:val="center"/>
          </w:tcPr>
          <w:p w14:paraId="139B3FA1">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nil"/>
              <w:left w:val="single" w:color="auto" w:sz="4" w:space="0"/>
              <w:bottom w:val="single" w:color="000000" w:sz="4" w:space="0"/>
              <w:right w:val="single" w:color="auto" w:sz="4" w:space="0"/>
            </w:tcBorders>
            <w:vAlign w:val="center"/>
          </w:tcPr>
          <w:p w14:paraId="07D20E45">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51797BB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5000字以下</w:t>
            </w:r>
          </w:p>
        </w:tc>
        <w:tc>
          <w:tcPr>
            <w:tcW w:w="851" w:type="dxa"/>
            <w:tcBorders>
              <w:top w:val="nil"/>
              <w:left w:val="nil"/>
              <w:bottom w:val="single" w:color="auto" w:sz="4" w:space="0"/>
              <w:right w:val="single" w:color="auto" w:sz="4" w:space="0"/>
            </w:tcBorders>
            <w:shd w:val="clear" w:color="000000" w:fill="FFFFFF"/>
            <w:noWrap/>
            <w:vAlign w:val="center"/>
          </w:tcPr>
          <w:p w14:paraId="6E03EF7A">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6-8</w:t>
            </w:r>
          </w:p>
        </w:tc>
        <w:tc>
          <w:tcPr>
            <w:tcW w:w="1134" w:type="dxa"/>
            <w:tcBorders>
              <w:top w:val="nil"/>
              <w:left w:val="nil"/>
              <w:bottom w:val="single" w:color="auto" w:sz="4" w:space="0"/>
              <w:right w:val="single" w:color="auto" w:sz="4" w:space="0"/>
            </w:tcBorders>
            <w:shd w:val="clear" w:color="auto" w:fill="auto"/>
            <w:noWrap/>
            <w:vAlign w:val="center"/>
          </w:tcPr>
          <w:p w14:paraId="645F1682">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4-5</w:t>
            </w:r>
          </w:p>
        </w:tc>
        <w:tc>
          <w:tcPr>
            <w:tcW w:w="992" w:type="dxa"/>
            <w:tcBorders>
              <w:top w:val="nil"/>
              <w:left w:val="nil"/>
              <w:bottom w:val="single" w:color="auto" w:sz="4" w:space="0"/>
              <w:right w:val="single" w:color="auto" w:sz="4" w:space="0"/>
            </w:tcBorders>
            <w:shd w:val="clear" w:color="auto" w:fill="auto"/>
            <w:noWrap/>
            <w:vAlign w:val="center"/>
          </w:tcPr>
          <w:p w14:paraId="16D0D8D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1-2</w:t>
            </w:r>
          </w:p>
        </w:tc>
        <w:tc>
          <w:tcPr>
            <w:tcW w:w="851" w:type="dxa"/>
            <w:tcBorders>
              <w:top w:val="nil"/>
              <w:left w:val="nil"/>
              <w:bottom w:val="single" w:color="auto" w:sz="4" w:space="0"/>
              <w:right w:val="single" w:color="auto" w:sz="8" w:space="0"/>
            </w:tcBorders>
            <w:shd w:val="clear" w:color="auto" w:fill="auto"/>
            <w:noWrap/>
            <w:vAlign w:val="center"/>
          </w:tcPr>
          <w:p w14:paraId="0BF2F74A">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073C12A1">
        <w:tblPrEx>
          <w:tblCellMar>
            <w:top w:w="0" w:type="dxa"/>
            <w:left w:w="108" w:type="dxa"/>
            <w:bottom w:w="0" w:type="dxa"/>
            <w:right w:w="108" w:type="dxa"/>
          </w:tblCellMar>
        </w:tblPrEx>
        <w:trPr>
          <w:trHeight w:val="450" w:hRule="atLeast"/>
        </w:trPr>
        <w:tc>
          <w:tcPr>
            <w:tcW w:w="2367" w:type="dxa"/>
            <w:vMerge w:val="continue"/>
            <w:tcBorders>
              <w:top w:val="nil"/>
              <w:left w:val="single" w:color="auto" w:sz="8" w:space="0"/>
              <w:bottom w:val="single" w:color="000000" w:sz="4" w:space="0"/>
              <w:right w:val="single" w:color="auto" w:sz="4" w:space="0"/>
            </w:tcBorders>
            <w:vAlign w:val="center"/>
          </w:tcPr>
          <w:p w14:paraId="226EF9CA">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04C3CBD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评论</w:t>
            </w:r>
          </w:p>
        </w:tc>
        <w:tc>
          <w:tcPr>
            <w:tcW w:w="1701" w:type="dxa"/>
            <w:tcBorders>
              <w:top w:val="nil"/>
              <w:left w:val="nil"/>
              <w:bottom w:val="single" w:color="auto" w:sz="4" w:space="0"/>
              <w:right w:val="single" w:color="auto" w:sz="4" w:space="0"/>
            </w:tcBorders>
            <w:shd w:val="clear" w:color="auto" w:fill="auto"/>
            <w:noWrap/>
            <w:vAlign w:val="center"/>
          </w:tcPr>
          <w:p w14:paraId="03A219E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2500字以上</w:t>
            </w:r>
          </w:p>
        </w:tc>
        <w:tc>
          <w:tcPr>
            <w:tcW w:w="851" w:type="dxa"/>
            <w:tcBorders>
              <w:top w:val="nil"/>
              <w:left w:val="nil"/>
              <w:bottom w:val="single" w:color="auto" w:sz="4" w:space="0"/>
              <w:right w:val="single" w:color="auto" w:sz="4" w:space="0"/>
            </w:tcBorders>
            <w:shd w:val="clear" w:color="000000" w:fill="FFFFFF"/>
            <w:noWrap/>
            <w:vAlign w:val="center"/>
          </w:tcPr>
          <w:p w14:paraId="495482DA">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3-5</w:t>
            </w:r>
          </w:p>
        </w:tc>
        <w:tc>
          <w:tcPr>
            <w:tcW w:w="1134" w:type="dxa"/>
            <w:tcBorders>
              <w:top w:val="nil"/>
              <w:left w:val="nil"/>
              <w:bottom w:val="single" w:color="auto" w:sz="4" w:space="0"/>
              <w:right w:val="single" w:color="auto" w:sz="4" w:space="0"/>
            </w:tcBorders>
            <w:shd w:val="clear" w:color="auto" w:fill="auto"/>
            <w:noWrap/>
            <w:vAlign w:val="center"/>
          </w:tcPr>
          <w:p w14:paraId="06A9116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w:t>
            </w:r>
          </w:p>
        </w:tc>
        <w:tc>
          <w:tcPr>
            <w:tcW w:w="992" w:type="dxa"/>
            <w:tcBorders>
              <w:top w:val="nil"/>
              <w:left w:val="nil"/>
              <w:bottom w:val="single" w:color="auto" w:sz="4" w:space="0"/>
              <w:right w:val="single" w:color="auto" w:sz="4" w:space="0"/>
            </w:tcBorders>
            <w:shd w:val="clear" w:color="auto" w:fill="auto"/>
            <w:noWrap/>
            <w:vAlign w:val="center"/>
          </w:tcPr>
          <w:p w14:paraId="3D2F7BB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1.5</w:t>
            </w:r>
          </w:p>
        </w:tc>
        <w:tc>
          <w:tcPr>
            <w:tcW w:w="851" w:type="dxa"/>
            <w:tcBorders>
              <w:top w:val="nil"/>
              <w:left w:val="nil"/>
              <w:bottom w:val="single" w:color="auto" w:sz="4" w:space="0"/>
              <w:right w:val="single" w:color="auto" w:sz="8" w:space="0"/>
            </w:tcBorders>
            <w:shd w:val="clear" w:color="auto" w:fill="auto"/>
            <w:noWrap/>
            <w:vAlign w:val="center"/>
          </w:tcPr>
          <w:p w14:paraId="2059F977">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51E52EC0">
        <w:tblPrEx>
          <w:tblCellMar>
            <w:top w:w="0" w:type="dxa"/>
            <w:left w:w="108" w:type="dxa"/>
            <w:bottom w:w="0" w:type="dxa"/>
            <w:right w:w="108" w:type="dxa"/>
          </w:tblCellMar>
        </w:tblPrEx>
        <w:trPr>
          <w:trHeight w:val="330" w:hRule="atLeast"/>
        </w:trPr>
        <w:tc>
          <w:tcPr>
            <w:tcW w:w="2367" w:type="dxa"/>
            <w:vMerge w:val="continue"/>
            <w:tcBorders>
              <w:top w:val="nil"/>
              <w:left w:val="single" w:color="auto" w:sz="8" w:space="0"/>
              <w:bottom w:val="single" w:color="000000" w:sz="4" w:space="0"/>
              <w:right w:val="single" w:color="auto" w:sz="4" w:space="0"/>
            </w:tcBorders>
            <w:vAlign w:val="center"/>
          </w:tcPr>
          <w:p w14:paraId="56CD5DD4">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nil"/>
              <w:left w:val="single" w:color="auto" w:sz="4" w:space="0"/>
              <w:bottom w:val="single" w:color="000000" w:sz="4" w:space="0"/>
              <w:right w:val="single" w:color="auto" w:sz="4" w:space="0"/>
            </w:tcBorders>
            <w:vAlign w:val="center"/>
          </w:tcPr>
          <w:p w14:paraId="7B03B0D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5C598AB3">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2500字以下</w:t>
            </w:r>
          </w:p>
        </w:tc>
        <w:tc>
          <w:tcPr>
            <w:tcW w:w="851" w:type="dxa"/>
            <w:tcBorders>
              <w:top w:val="nil"/>
              <w:left w:val="nil"/>
              <w:bottom w:val="single" w:color="auto" w:sz="4" w:space="0"/>
              <w:right w:val="single" w:color="auto" w:sz="4" w:space="0"/>
            </w:tcBorders>
            <w:shd w:val="clear" w:color="000000" w:fill="FFFFFF"/>
            <w:noWrap/>
            <w:vAlign w:val="center"/>
          </w:tcPr>
          <w:p w14:paraId="66D497ED">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w:t>
            </w:r>
          </w:p>
        </w:tc>
        <w:tc>
          <w:tcPr>
            <w:tcW w:w="1134" w:type="dxa"/>
            <w:tcBorders>
              <w:top w:val="nil"/>
              <w:left w:val="nil"/>
              <w:bottom w:val="single" w:color="auto" w:sz="4" w:space="0"/>
              <w:right w:val="single" w:color="auto" w:sz="4" w:space="0"/>
            </w:tcBorders>
            <w:shd w:val="clear" w:color="auto" w:fill="auto"/>
            <w:noWrap/>
            <w:vAlign w:val="center"/>
          </w:tcPr>
          <w:p w14:paraId="101B301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992" w:type="dxa"/>
            <w:tcBorders>
              <w:top w:val="nil"/>
              <w:left w:val="nil"/>
              <w:bottom w:val="single" w:color="auto" w:sz="4" w:space="0"/>
              <w:right w:val="single" w:color="auto" w:sz="4" w:space="0"/>
            </w:tcBorders>
            <w:shd w:val="clear" w:color="auto" w:fill="auto"/>
            <w:noWrap/>
            <w:vAlign w:val="center"/>
          </w:tcPr>
          <w:p w14:paraId="3E0ECF3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851" w:type="dxa"/>
            <w:tcBorders>
              <w:top w:val="nil"/>
              <w:left w:val="nil"/>
              <w:bottom w:val="single" w:color="auto" w:sz="4" w:space="0"/>
              <w:right w:val="single" w:color="auto" w:sz="8" w:space="0"/>
            </w:tcBorders>
            <w:shd w:val="clear" w:color="auto" w:fill="auto"/>
            <w:noWrap/>
            <w:vAlign w:val="center"/>
          </w:tcPr>
          <w:p w14:paraId="628E1EB7">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10482020">
        <w:tblPrEx>
          <w:tblCellMar>
            <w:top w:w="0" w:type="dxa"/>
            <w:left w:w="108" w:type="dxa"/>
            <w:bottom w:w="0" w:type="dxa"/>
            <w:right w:w="108" w:type="dxa"/>
          </w:tblCellMar>
        </w:tblPrEx>
        <w:trPr>
          <w:trHeight w:val="510" w:hRule="atLeast"/>
        </w:trPr>
        <w:tc>
          <w:tcPr>
            <w:tcW w:w="2367" w:type="dxa"/>
            <w:vMerge w:val="restart"/>
            <w:tcBorders>
              <w:top w:val="nil"/>
              <w:left w:val="single" w:color="auto" w:sz="8" w:space="0"/>
              <w:bottom w:val="nil"/>
              <w:right w:val="single" w:color="auto" w:sz="4" w:space="0"/>
            </w:tcBorders>
            <w:shd w:val="clear" w:color="auto" w:fill="auto"/>
            <w:vAlign w:val="center"/>
          </w:tcPr>
          <w:p w14:paraId="7539252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一般刊物</w:t>
            </w:r>
          </w:p>
        </w:tc>
        <w:tc>
          <w:tcPr>
            <w:tcW w:w="1134" w:type="dxa"/>
            <w:vMerge w:val="restart"/>
            <w:tcBorders>
              <w:top w:val="nil"/>
              <w:left w:val="single" w:color="auto" w:sz="4" w:space="0"/>
              <w:bottom w:val="nil"/>
              <w:right w:val="single" w:color="auto" w:sz="4" w:space="0"/>
            </w:tcBorders>
            <w:shd w:val="clear" w:color="auto" w:fill="auto"/>
            <w:noWrap/>
            <w:vAlign w:val="center"/>
          </w:tcPr>
          <w:p w14:paraId="52E4C4E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论文（含评论）</w:t>
            </w:r>
          </w:p>
        </w:tc>
        <w:tc>
          <w:tcPr>
            <w:tcW w:w="1701" w:type="dxa"/>
            <w:tcBorders>
              <w:top w:val="nil"/>
              <w:left w:val="nil"/>
              <w:bottom w:val="single" w:color="auto" w:sz="4" w:space="0"/>
              <w:right w:val="single" w:color="auto" w:sz="4" w:space="0"/>
            </w:tcBorders>
            <w:shd w:val="clear" w:color="auto" w:fill="auto"/>
            <w:noWrap/>
            <w:vAlign w:val="center"/>
          </w:tcPr>
          <w:p w14:paraId="665801D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5000字以上</w:t>
            </w:r>
          </w:p>
        </w:tc>
        <w:tc>
          <w:tcPr>
            <w:tcW w:w="851" w:type="dxa"/>
            <w:tcBorders>
              <w:top w:val="nil"/>
              <w:left w:val="nil"/>
              <w:bottom w:val="single" w:color="auto" w:sz="4" w:space="0"/>
              <w:right w:val="single" w:color="auto" w:sz="4" w:space="0"/>
            </w:tcBorders>
            <w:shd w:val="clear" w:color="000000" w:fill="FFFFFF"/>
            <w:noWrap/>
            <w:vAlign w:val="center"/>
          </w:tcPr>
          <w:p w14:paraId="4399A09D">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6-7</w:t>
            </w:r>
          </w:p>
        </w:tc>
        <w:tc>
          <w:tcPr>
            <w:tcW w:w="1134" w:type="dxa"/>
            <w:tcBorders>
              <w:top w:val="nil"/>
              <w:left w:val="nil"/>
              <w:bottom w:val="single" w:color="auto" w:sz="4" w:space="0"/>
              <w:right w:val="single" w:color="auto" w:sz="4" w:space="0"/>
            </w:tcBorders>
            <w:shd w:val="clear" w:color="auto" w:fill="auto"/>
            <w:noWrap/>
            <w:vAlign w:val="center"/>
          </w:tcPr>
          <w:p w14:paraId="632C895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4-5</w:t>
            </w:r>
          </w:p>
        </w:tc>
        <w:tc>
          <w:tcPr>
            <w:tcW w:w="992" w:type="dxa"/>
            <w:tcBorders>
              <w:top w:val="nil"/>
              <w:left w:val="nil"/>
              <w:bottom w:val="single" w:color="auto" w:sz="4" w:space="0"/>
              <w:right w:val="single" w:color="auto" w:sz="4" w:space="0"/>
            </w:tcBorders>
            <w:shd w:val="clear" w:color="auto" w:fill="auto"/>
            <w:noWrap/>
            <w:vAlign w:val="center"/>
          </w:tcPr>
          <w:p w14:paraId="1A634F53">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1-2</w:t>
            </w:r>
          </w:p>
        </w:tc>
        <w:tc>
          <w:tcPr>
            <w:tcW w:w="851" w:type="dxa"/>
            <w:tcBorders>
              <w:top w:val="nil"/>
              <w:left w:val="nil"/>
              <w:bottom w:val="single" w:color="auto" w:sz="4" w:space="0"/>
              <w:right w:val="single" w:color="auto" w:sz="8" w:space="0"/>
            </w:tcBorders>
            <w:shd w:val="clear" w:color="auto" w:fill="auto"/>
            <w:noWrap/>
            <w:vAlign w:val="center"/>
          </w:tcPr>
          <w:p w14:paraId="41961F07">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7839D620">
        <w:tblPrEx>
          <w:tblCellMar>
            <w:top w:w="0" w:type="dxa"/>
            <w:left w:w="108" w:type="dxa"/>
            <w:bottom w:w="0" w:type="dxa"/>
            <w:right w:w="108" w:type="dxa"/>
          </w:tblCellMar>
        </w:tblPrEx>
        <w:trPr>
          <w:trHeight w:val="435" w:hRule="atLeast"/>
        </w:trPr>
        <w:tc>
          <w:tcPr>
            <w:tcW w:w="2367" w:type="dxa"/>
            <w:vMerge w:val="continue"/>
            <w:tcBorders>
              <w:top w:val="nil"/>
              <w:left w:val="single" w:color="auto" w:sz="8" w:space="0"/>
              <w:bottom w:val="nil"/>
              <w:right w:val="single" w:color="auto" w:sz="4" w:space="0"/>
            </w:tcBorders>
            <w:vAlign w:val="center"/>
          </w:tcPr>
          <w:p w14:paraId="58DA2DB3">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nil"/>
              <w:left w:val="single" w:color="auto" w:sz="4" w:space="0"/>
              <w:bottom w:val="nil"/>
              <w:right w:val="single" w:color="auto" w:sz="4" w:space="0"/>
            </w:tcBorders>
            <w:vAlign w:val="center"/>
          </w:tcPr>
          <w:p w14:paraId="7FF1C32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5E39C5B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2500-5000字</w:t>
            </w:r>
          </w:p>
        </w:tc>
        <w:tc>
          <w:tcPr>
            <w:tcW w:w="851" w:type="dxa"/>
            <w:tcBorders>
              <w:top w:val="nil"/>
              <w:left w:val="nil"/>
              <w:bottom w:val="single" w:color="auto" w:sz="4" w:space="0"/>
              <w:right w:val="single" w:color="auto" w:sz="4" w:space="0"/>
            </w:tcBorders>
            <w:shd w:val="clear" w:color="000000" w:fill="FFFFFF"/>
            <w:noWrap/>
            <w:vAlign w:val="center"/>
          </w:tcPr>
          <w:p w14:paraId="423ABD9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3-4</w:t>
            </w:r>
          </w:p>
        </w:tc>
        <w:tc>
          <w:tcPr>
            <w:tcW w:w="1134" w:type="dxa"/>
            <w:tcBorders>
              <w:top w:val="nil"/>
              <w:left w:val="nil"/>
              <w:bottom w:val="single" w:color="auto" w:sz="4" w:space="0"/>
              <w:right w:val="single" w:color="auto" w:sz="4" w:space="0"/>
            </w:tcBorders>
            <w:shd w:val="clear" w:color="auto" w:fill="auto"/>
            <w:noWrap/>
            <w:vAlign w:val="center"/>
          </w:tcPr>
          <w:p w14:paraId="6C4C3DD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w:t>
            </w:r>
          </w:p>
        </w:tc>
        <w:tc>
          <w:tcPr>
            <w:tcW w:w="992" w:type="dxa"/>
            <w:tcBorders>
              <w:top w:val="nil"/>
              <w:left w:val="nil"/>
              <w:bottom w:val="single" w:color="auto" w:sz="4" w:space="0"/>
              <w:right w:val="single" w:color="auto" w:sz="4" w:space="0"/>
            </w:tcBorders>
            <w:shd w:val="clear" w:color="auto" w:fill="auto"/>
            <w:noWrap/>
            <w:vAlign w:val="center"/>
          </w:tcPr>
          <w:p w14:paraId="51E35C6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w:t>
            </w:r>
          </w:p>
        </w:tc>
        <w:tc>
          <w:tcPr>
            <w:tcW w:w="851" w:type="dxa"/>
            <w:tcBorders>
              <w:top w:val="nil"/>
              <w:left w:val="nil"/>
              <w:bottom w:val="single" w:color="auto" w:sz="4" w:space="0"/>
              <w:right w:val="single" w:color="auto" w:sz="8" w:space="0"/>
            </w:tcBorders>
            <w:shd w:val="clear" w:color="auto" w:fill="auto"/>
            <w:noWrap/>
            <w:vAlign w:val="center"/>
          </w:tcPr>
          <w:p w14:paraId="14A2CDF3">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523ABBCA">
        <w:tblPrEx>
          <w:tblCellMar>
            <w:top w:w="0" w:type="dxa"/>
            <w:left w:w="108" w:type="dxa"/>
            <w:bottom w:w="0" w:type="dxa"/>
            <w:right w:w="108" w:type="dxa"/>
          </w:tblCellMar>
        </w:tblPrEx>
        <w:trPr>
          <w:trHeight w:val="315" w:hRule="atLeast"/>
        </w:trPr>
        <w:tc>
          <w:tcPr>
            <w:tcW w:w="2367" w:type="dxa"/>
            <w:vMerge w:val="continue"/>
            <w:tcBorders>
              <w:top w:val="nil"/>
              <w:left w:val="single" w:color="auto" w:sz="8" w:space="0"/>
              <w:bottom w:val="nil"/>
              <w:right w:val="single" w:color="auto" w:sz="4" w:space="0"/>
            </w:tcBorders>
            <w:vAlign w:val="center"/>
          </w:tcPr>
          <w:p w14:paraId="5F99024F">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nil"/>
              <w:left w:val="single" w:color="auto" w:sz="4" w:space="0"/>
              <w:bottom w:val="nil"/>
              <w:right w:val="single" w:color="auto" w:sz="4" w:space="0"/>
            </w:tcBorders>
            <w:vAlign w:val="center"/>
          </w:tcPr>
          <w:p w14:paraId="264885A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42CB19C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2500以下</w:t>
            </w:r>
          </w:p>
        </w:tc>
        <w:tc>
          <w:tcPr>
            <w:tcW w:w="851" w:type="dxa"/>
            <w:tcBorders>
              <w:top w:val="nil"/>
              <w:left w:val="nil"/>
              <w:bottom w:val="single" w:color="auto" w:sz="4" w:space="0"/>
              <w:right w:val="single" w:color="auto" w:sz="4" w:space="0"/>
            </w:tcBorders>
            <w:shd w:val="clear" w:color="auto" w:fill="auto"/>
            <w:noWrap/>
            <w:vAlign w:val="center"/>
          </w:tcPr>
          <w:p w14:paraId="54FD42F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w:t>
            </w:r>
          </w:p>
        </w:tc>
        <w:tc>
          <w:tcPr>
            <w:tcW w:w="1134" w:type="dxa"/>
            <w:tcBorders>
              <w:top w:val="nil"/>
              <w:left w:val="nil"/>
              <w:bottom w:val="single" w:color="auto" w:sz="4" w:space="0"/>
              <w:right w:val="single" w:color="auto" w:sz="4" w:space="0"/>
            </w:tcBorders>
            <w:shd w:val="clear" w:color="auto" w:fill="auto"/>
            <w:noWrap/>
            <w:vAlign w:val="center"/>
          </w:tcPr>
          <w:p w14:paraId="46FAB280">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992" w:type="dxa"/>
            <w:tcBorders>
              <w:top w:val="nil"/>
              <w:left w:val="nil"/>
              <w:bottom w:val="single" w:color="auto" w:sz="4" w:space="0"/>
              <w:right w:val="single" w:color="auto" w:sz="4" w:space="0"/>
            </w:tcBorders>
            <w:shd w:val="clear" w:color="auto" w:fill="auto"/>
            <w:noWrap/>
            <w:vAlign w:val="center"/>
          </w:tcPr>
          <w:p w14:paraId="079B959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851" w:type="dxa"/>
            <w:tcBorders>
              <w:top w:val="nil"/>
              <w:left w:val="nil"/>
              <w:bottom w:val="single" w:color="auto" w:sz="4" w:space="0"/>
              <w:right w:val="single" w:color="auto" w:sz="8" w:space="0"/>
            </w:tcBorders>
            <w:shd w:val="clear" w:color="auto" w:fill="auto"/>
            <w:noWrap/>
            <w:vAlign w:val="center"/>
          </w:tcPr>
          <w:p w14:paraId="3CFDDE0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2382172D">
        <w:tblPrEx>
          <w:tblCellMar>
            <w:top w:w="0" w:type="dxa"/>
            <w:left w:w="108" w:type="dxa"/>
            <w:bottom w:w="0" w:type="dxa"/>
            <w:right w:w="108" w:type="dxa"/>
          </w:tblCellMar>
        </w:tblPrEx>
        <w:trPr>
          <w:trHeight w:val="495" w:hRule="atLeast"/>
        </w:trPr>
        <w:tc>
          <w:tcPr>
            <w:tcW w:w="2367" w:type="dxa"/>
            <w:vMerge w:val="restart"/>
            <w:tcBorders>
              <w:top w:val="single" w:color="auto" w:sz="4" w:space="0"/>
              <w:left w:val="single" w:color="auto" w:sz="8" w:space="0"/>
              <w:bottom w:val="single" w:color="auto" w:sz="4" w:space="0"/>
              <w:right w:val="single" w:color="auto" w:sz="4" w:space="0"/>
            </w:tcBorders>
            <w:shd w:val="clear" w:color="auto" w:fill="auto"/>
            <w:noWrap/>
            <w:vAlign w:val="center"/>
          </w:tcPr>
          <w:p w14:paraId="27186B5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论文集</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07DFB33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国际性论文集（外文投稿）</w:t>
            </w:r>
          </w:p>
        </w:tc>
        <w:tc>
          <w:tcPr>
            <w:tcW w:w="1701" w:type="dxa"/>
            <w:tcBorders>
              <w:top w:val="nil"/>
              <w:left w:val="nil"/>
              <w:bottom w:val="single" w:color="auto" w:sz="4" w:space="0"/>
              <w:right w:val="single" w:color="auto" w:sz="4" w:space="0"/>
            </w:tcBorders>
            <w:shd w:val="clear" w:color="auto" w:fill="auto"/>
            <w:noWrap/>
            <w:vAlign w:val="center"/>
          </w:tcPr>
          <w:p w14:paraId="7879E37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4000字以上</w:t>
            </w:r>
          </w:p>
        </w:tc>
        <w:tc>
          <w:tcPr>
            <w:tcW w:w="851" w:type="dxa"/>
            <w:tcBorders>
              <w:top w:val="nil"/>
              <w:left w:val="nil"/>
              <w:bottom w:val="single" w:color="auto" w:sz="4" w:space="0"/>
              <w:right w:val="single" w:color="auto" w:sz="4" w:space="0"/>
            </w:tcBorders>
            <w:shd w:val="clear" w:color="auto" w:fill="auto"/>
            <w:noWrap/>
            <w:vAlign w:val="center"/>
          </w:tcPr>
          <w:p w14:paraId="4FD49BB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w:t>
            </w:r>
          </w:p>
        </w:tc>
        <w:tc>
          <w:tcPr>
            <w:tcW w:w="1134" w:type="dxa"/>
            <w:tcBorders>
              <w:top w:val="nil"/>
              <w:left w:val="nil"/>
              <w:bottom w:val="single" w:color="auto" w:sz="4" w:space="0"/>
              <w:right w:val="single" w:color="auto" w:sz="4" w:space="0"/>
            </w:tcBorders>
            <w:shd w:val="clear" w:color="auto" w:fill="auto"/>
            <w:noWrap/>
            <w:vAlign w:val="center"/>
          </w:tcPr>
          <w:p w14:paraId="4C96178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3.5</w:t>
            </w:r>
          </w:p>
        </w:tc>
        <w:tc>
          <w:tcPr>
            <w:tcW w:w="992" w:type="dxa"/>
            <w:tcBorders>
              <w:top w:val="nil"/>
              <w:left w:val="nil"/>
              <w:bottom w:val="single" w:color="auto" w:sz="4" w:space="0"/>
              <w:right w:val="single" w:color="auto" w:sz="4" w:space="0"/>
            </w:tcBorders>
            <w:shd w:val="clear" w:color="auto" w:fill="auto"/>
            <w:noWrap/>
            <w:vAlign w:val="center"/>
          </w:tcPr>
          <w:p w14:paraId="7508C5B4">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1.5</w:t>
            </w:r>
          </w:p>
        </w:tc>
        <w:tc>
          <w:tcPr>
            <w:tcW w:w="851" w:type="dxa"/>
            <w:tcBorders>
              <w:top w:val="nil"/>
              <w:left w:val="nil"/>
              <w:bottom w:val="single" w:color="auto" w:sz="4" w:space="0"/>
              <w:right w:val="single" w:color="auto" w:sz="8" w:space="0"/>
            </w:tcBorders>
            <w:shd w:val="clear" w:color="auto" w:fill="auto"/>
            <w:noWrap/>
            <w:vAlign w:val="center"/>
          </w:tcPr>
          <w:p w14:paraId="6BDC3A22">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45C1E22F">
        <w:tblPrEx>
          <w:tblCellMar>
            <w:top w:w="0" w:type="dxa"/>
            <w:left w:w="108" w:type="dxa"/>
            <w:bottom w:w="0" w:type="dxa"/>
            <w:right w:w="108" w:type="dxa"/>
          </w:tblCellMar>
        </w:tblPrEx>
        <w:trPr>
          <w:trHeight w:val="480" w:hRule="atLeast"/>
        </w:trPr>
        <w:tc>
          <w:tcPr>
            <w:tcW w:w="2367" w:type="dxa"/>
            <w:vMerge w:val="continue"/>
            <w:tcBorders>
              <w:top w:val="single" w:color="auto" w:sz="4" w:space="0"/>
              <w:left w:val="single" w:color="auto" w:sz="8" w:space="0"/>
              <w:bottom w:val="single" w:color="auto" w:sz="4" w:space="0"/>
              <w:right w:val="single" w:color="auto" w:sz="4" w:space="0"/>
            </w:tcBorders>
            <w:vAlign w:val="center"/>
          </w:tcPr>
          <w:p w14:paraId="4231A31A">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14:paraId="312FFFAB">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6E55920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4000字以下</w:t>
            </w:r>
          </w:p>
        </w:tc>
        <w:tc>
          <w:tcPr>
            <w:tcW w:w="851" w:type="dxa"/>
            <w:tcBorders>
              <w:top w:val="nil"/>
              <w:left w:val="nil"/>
              <w:bottom w:val="single" w:color="auto" w:sz="4" w:space="0"/>
              <w:right w:val="single" w:color="auto" w:sz="4" w:space="0"/>
            </w:tcBorders>
            <w:shd w:val="clear" w:color="auto" w:fill="auto"/>
            <w:noWrap/>
            <w:vAlign w:val="center"/>
          </w:tcPr>
          <w:p w14:paraId="2D4CBEDB">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w:t>
            </w:r>
          </w:p>
        </w:tc>
        <w:tc>
          <w:tcPr>
            <w:tcW w:w="1134" w:type="dxa"/>
            <w:tcBorders>
              <w:top w:val="nil"/>
              <w:left w:val="nil"/>
              <w:bottom w:val="single" w:color="auto" w:sz="4" w:space="0"/>
              <w:right w:val="single" w:color="auto" w:sz="4" w:space="0"/>
            </w:tcBorders>
            <w:shd w:val="clear" w:color="auto" w:fill="auto"/>
            <w:noWrap/>
            <w:vAlign w:val="center"/>
          </w:tcPr>
          <w:p w14:paraId="0CB5FBA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2</w:t>
            </w:r>
          </w:p>
        </w:tc>
        <w:tc>
          <w:tcPr>
            <w:tcW w:w="992" w:type="dxa"/>
            <w:tcBorders>
              <w:top w:val="nil"/>
              <w:left w:val="nil"/>
              <w:bottom w:val="single" w:color="auto" w:sz="4" w:space="0"/>
              <w:right w:val="single" w:color="auto" w:sz="4" w:space="0"/>
            </w:tcBorders>
            <w:shd w:val="clear" w:color="auto" w:fill="auto"/>
            <w:noWrap/>
            <w:vAlign w:val="center"/>
          </w:tcPr>
          <w:p w14:paraId="3590AFC4">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w:t>
            </w:r>
          </w:p>
        </w:tc>
        <w:tc>
          <w:tcPr>
            <w:tcW w:w="851" w:type="dxa"/>
            <w:tcBorders>
              <w:top w:val="nil"/>
              <w:left w:val="nil"/>
              <w:bottom w:val="single" w:color="auto" w:sz="4" w:space="0"/>
              <w:right w:val="single" w:color="auto" w:sz="8" w:space="0"/>
            </w:tcBorders>
            <w:shd w:val="clear" w:color="auto" w:fill="auto"/>
            <w:noWrap/>
            <w:vAlign w:val="center"/>
          </w:tcPr>
          <w:p w14:paraId="1B39B8BF">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7653EE5B">
        <w:tblPrEx>
          <w:tblCellMar>
            <w:top w:w="0" w:type="dxa"/>
            <w:left w:w="108" w:type="dxa"/>
            <w:bottom w:w="0" w:type="dxa"/>
            <w:right w:w="108" w:type="dxa"/>
          </w:tblCellMar>
        </w:tblPrEx>
        <w:trPr>
          <w:trHeight w:val="555" w:hRule="atLeast"/>
        </w:trPr>
        <w:tc>
          <w:tcPr>
            <w:tcW w:w="2367" w:type="dxa"/>
            <w:vMerge w:val="continue"/>
            <w:tcBorders>
              <w:top w:val="single" w:color="auto" w:sz="4" w:space="0"/>
              <w:left w:val="single" w:color="auto" w:sz="8" w:space="0"/>
              <w:bottom w:val="single" w:color="auto" w:sz="4" w:space="0"/>
              <w:right w:val="single" w:color="auto" w:sz="4" w:space="0"/>
            </w:tcBorders>
            <w:vAlign w:val="center"/>
          </w:tcPr>
          <w:p w14:paraId="1927F011">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restart"/>
            <w:tcBorders>
              <w:top w:val="nil"/>
              <w:left w:val="single" w:color="auto" w:sz="4" w:space="0"/>
              <w:bottom w:val="single" w:color="000000" w:sz="4" w:space="0"/>
              <w:right w:val="single" w:color="auto" w:sz="4" w:space="0"/>
            </w:tcBorders>
            <w:shd w:val="clear" w:color="auto" w:fill="auto"/>
            <w:noWrap/>
            <w:vAlign w:val="center"/>
          </w:tcPr>
          <w:p w14:paraId="7D9E5E6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国内论文集</w:t>
            </w:r>
          </w:p>
        </w:tc>
        <w:tc>
          <w:tcPr>
            <w:tcW w:w="1701" w:type="dxa"/>
            <w:tcBorders>
              <w:top w:val="nil"/>
              <w:left w:val="nil"/>
              <w:bottom w:val="single" w:color="auto" w:sz="4" w:space="0"/>
              <w:right w:val="single" w:color="auto" w:sz="4" w:space="0"/>
            </w:tcBorders>
            <w:shd w:val="clear" w:color="auto" w:fill="auto"/>
            <w:noWrap/>
            <w:vAlign w:val="center"/>
          </w:tcPr>
          <w:p w14:paraId="1513C1D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5000字以上</w:t>
            </w:r>
          </w:p>
        </w:tc>
        <w:tc>
          <w:tcPr>
            <w:tcW w:w="851" w:type="dxa"/>
            <w:tcBorders>
              <w:top w:val="nil"/>
              <w:left w:val="nil"/>
              <w:bottom w:val="single" w:color="auto" w:sz="4" w:space="0"/>
              <w:right w:val="single" w:color="auto" w:sz="4" w:space="0"/>
            </w:tcBorders>
            <w:shd w:val="clear" w:color="auto" w:fill="auto"/>
            <w:noWrap/>
            <w:vAlign w:val="center"/>
          </w:tcPr>
          <w:p w14:paraId="76392147">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3-4</w:t>
            </w:r>
          </w:p>
        </w:tc>
        <w:tc>
          <w:tcPr>
            <w:tcW w:w="1134" w:type="dxa"/>
            <w:tcBorders>
              <w:top w:val="nil"/>
              <w:left w:val="nil"/>
              <w:bottom w:val="single" w:color="auto" w:sz="4" w:space="0"/>
              <w:right w:val="single" w:color="auto" w:sz="4" w:space="0"/>
            </w:tcBorders>
            <w:shd w:val="clear" w:color="auto" w:fill="auto"/>
            <w:noWrap/>
            <w:vAlign w:val="center"/>
          </w:tcPr>
          <w:p w14:paraId="307AF01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3</w:t>
            </w:r>
          </w:p>
        </w:tc>
        <w:tc>
          <w:tcPr>
            <w:tcW w:w="992" w:type="dxa"/>
            <w:tcBorders>
              <w:top w:val="nil"/>
              <w:left w:val="nil"/>
              <w:bottom w:val="single" w:color="auto" w:sz="4" w:space="0"/>
              <w:right w:val="single" w:color="auto" w:sz="4" w:space="0"/>
            </w:tcBorders>
            <w:shd w:val="clear" w:color="auto" w:fill="auto"/>
            <w:noWrap/>
            <w:vAlign w:val="center"/>
          </w:tcPr>
          <w:p w14:paraId="6776BDDB">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w:t>
            </w:r>
          </w:p>
        </w:tc>
        <w:tc>
          <w:tcPr>
            <w:tcW w:w="851" w:type="dxa"/>
            <w:tcBorders>
              <w:top w:val="nil"/>
              <w:left w:val="nil"/>
              <w:bottom w:val="single" w:color="auto" w:sz="4" w:space="0"/>
              <w:right w:val="single" w:color="auto" w:sz="8" w:space="0"/>
            </w:tcBorders>
            <w:shd w:val="clear" w:color="auto" w:fill="auto"/>
            <w:vAlign w:val="center"/>
          </w:tcPr>
          <w:p w14:paraId="7A1920E8">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52C36880">
        <w:tblPrEx>
          <w:tblCellMar>
            <w:top w:w="0" w:type="dxa"/>
            <w:left w:w="108" w:type="dxa"/>
            <w:bottom w:w="0" w:type="dxa"/>
            <w:right w:w="108" w:type="dxa"/>
          </w:tblCellMar>
        </w:tblPrEx>
        <w:trPr>
          <w:trHeight w:val="570" w:hRule="atLeast"/>
        </w:trPr>
        <w:tc>
          <w:tcPr>
            <w:tcW w:w="2367" w:type="dxa"/>
            <w:vMerge w:val="continue"/>
            <w:tcBorders>
              <w:top w:val="single" w:color="auto" w:sz="4" w:space="0"/>
              <w:left w:val="single" w:color="auto" w:sz="8" w:space="0"/>
              <w:bottom w:val="single" w:color="auto" w:sz="4" w:space="0"/>
              <w:right w:val="single" w:color="auto" w:sz="4" w:space="0"/>
            </w:tcBorders>
            <w:vAlign w:val="center"/>
          </w:tcPr>
          <w:p w14:paraId="5EFBB66F">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134" w:type="dxa"/>
            <w:vMerge w:val="continue"/>
            <w:tcBorders>
              <w:top w:val="nil"/>
              <w:left w:val="single" w:color="auto" w:sz="4" w:space="0"/>
              <w:bottom w:val="single" w:color="000000" w:sz="4" w:space="0"/>
              <w:right w:val="single" w:color="auto" w:sz="4" w:space="0"/>
            </w:tcBorders>
            <w:vAlign w:val="center"/>
          </w:tcPr>
          <w:p w14:paraId="479D30C2">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tc>
        <w:tc>
          <w:tcPr>
            <w:tcW w:w="1701" w:type="dxa"/>
            <w:tcBorders>
              <w:top w:val="nil"/>
              <w:left w:val="nil"/>
              <w:bottom w:val="single" w:color="auto" w:sz="4" w:space="0"/>
              <w:right w:val="single" w:color="auto" w:sz="4" w:space="0"/>
            </w:tcBorders>
            <w:shd w:val="clear" w:color="auto" w:fill="auto"/>
            <w:noWrap/>
            <w:vAlign w:val="center"/>
          </w:tcPr>
          <w:p w14:paraId="6B37E93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5000字以下</w:t>
            </w:r>
          </w:p>
        </w:tc>
        <w:tc>
          <w:tcPr>
            <w:tcW w:w="851" w:type="dxa"/>
            <w:tcBorders>
              <w:top w:val="nil"/>
              <w:left w:val="nil"/>
              <w:bottom w:val="single" w:color="auto" w:sz="4" w:space="0"/>
              <w:right w:val="single" w:color="auto" w:sz="4" w:space="0"/>
            </w:tcBorders>
            <w:shd w:val="clear" w:color="auto" w:fill="auto"/>
            <w:noWrap/>
            <w:vAlign w:val="center"/>
          </w:tcPr>
          <w:p w14:paraId="56CC4313">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1-2</w:t>
            </w:r>
          </w:p>
        </w:tc>
        <w:tc>
          <w:tcPr>
            <w:tcW w:w="1134" w:type="dxa"/>
            <w:tcBorders>
              <w:top w:val="nil"/>
              <w:left w:val="nil"/>
              <w:bottom w:val="single" w:color="auto" w:sz="4" w:space="0"/>
              <w:right w:val="single" w:color="auto" w:sz="4" w:space="0"/>
            </w:tcBorders>
            <w:shd w:val="clear" w:color="auto" w:fill="auto"/>
            <w:noWrap/>
            <w:vAlign w:val="center"/>
          </w:tcPr>
          <w:p w14:paraId="4E55CB1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992" w:type="dxa"/>
            <w:tcBorders>
              <w:top w:val="nil"/>
              <w:left w:val="nil"/>
              <w:bottom w:val="single" w:color="auto" w:sz="4" w:space="0"/>
              <w:right w:val="single" w:color="auto" w:sz="4" w:space="0"/>
            </w:tcBorders>
            <w:shd w:val="clear" w:color="auto" w:fill="auto"/>
            <w:noWrap/>
            <w:vAlign w:val="center"/>
          </w:tcPr>
          <w:p w14:paraId="2EEF6A4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tc>
        <w:tc>
          <w:tcPr>
            <w:tcW w:w="851" w:type="dxa"/>
            <w:tcBorders>
              <w:top w:val="nil"/>
              <w:left w:val="nil"/>
              <w:bottom w:val="single" w:color="auto" w:sz="4" w:space="0"/>
              <w:right w:val="single" w:color="auto" w:sz="8" w:space="0"/>
            </w:tcBorders>
            <w:shd w:val="clear" w:color="auto" w:fill="auto"/>
            <w:vAlign w:val="center"/>
          </w:tcPr>
          <w:p w14:paraId="68479FCD">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7EC644DC">
        <w:tblPrEx>
          <w:tblCellMar>
            <w:top w:w="0" w:type="dxa"/>
            <w:left w:w="108" w:type="dxa"/>
            <w:bottom w:w="0" w:type="dxa"/>
            <w:right w:w="108" w:type="dxa"/>
          </w:tblCellMar>
        </w:tblPrEx>
        <w:trPr>
          <w:trHeight w:val="765" w:hRule="atLeast"/>
        </w:trPr>
        <w:tc>
          <w:tcPr>
            <w:tcW w:w="2367" w:type="dxa"/>
            <w:tcBorders>
              <w:top w:val="nil"/>
              <w:left w:val="single" w:color="auto" w:sz="8" w:space="0"/>
              <w:bottom w:val="single" w:color="auto" w:sz="4" w:space="0"/>
              <w:right w:val="single" w:color="auto" w:sz="4" w:space="0"/>
            </w:tcBorders>
            <w:shd w:val="clear" w:color="auto" w:fill="auto"/>
            <w:noWrap/>
            <w:vAlign w:val="center"/>
          </w:tcPr>
          <w:p w14:paraId="47F4E41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剧本、小说</w:t>
            </w:r>
          </w:p>
        </w:tc>
        <w:tc>
          <w:tcPr>
            <w:tcW w:w="1134" w:type="dxa"/>
            <w:tcBorders>
              <w:top w:val="nil"/>
              <w:left w:val="nil"/>
              <w:bottom w:val="single" w:color="auto" w:sz="4" w:space="0"/>
              <w:right w:val="single" w:color="auto" w:sz="4" w:space="0"/>
            </w:tcBorders>
            <w:shd w:val="clear" w:color="auto" w:fill="auto"/>
            <w:noWrap/>
            <w:vAlign w:val="center"/>
          </w:tcPr>
          <w:p w14:paraId="5D863818">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c>
          <w:tcPr>
            <w:tcW w:w="1701" w:type="dxa"/>
            <w:tcBorders>
              <w:top w:val="nil"/>
              <w:left w:val="nil"/>
              <w:bottom w:val="single" w:color="auto" w:sz="4" w:space="0"/>
              <w:right w:val="single" w:color="auto" w:sz="4" w:space="0"/>
            </w:tcBorders>
            <w:shd w:val="clear" w:color="auto" w:fill="auto"/>
            <w:noWrap/>
            <w:vAlign w:val="center"/>
          </w:tcPr>
          <w:p w14:paraId="27D81B1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pP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参考论文加分标准</w:t>
            </w:r>
          </w:p>
        </w:tc>
        <w:tc>
          <w:tcPr>
            <w:tcW w:w="851" w:type="dxa"/>
            <w:tcBorders>
              <w:top w:val="nil"/>
              <w:left w:val="nil"/>
              <w:bottom w:val="single" w:color="auto" w:sz="4" w:space="0"/>
              <w:right w:val="single" w:color="auto" w:sz="4" w:space="0"/>
            </w:tcBorders>
            <w:shd w:val="clear" w:color="auto" w:fill="auto"/>
            <w:noWrap/>
            <w:vAlign w:val="center"/>
          </w:tcPr>
          <w:p w14:paraId="06C99EF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c>
          <w:tcPr>
            <w:tcW w:w="1134" w:type="dxa"/>
            <w:tcBorders>
              <w:top w:val="nil"/>
              <w:left w:val="nil"/>
              <w:bottom w:val="single" w:color="auto" w:sz="4" w:space="0"/>
              <w:right w:val="single" w:color="auto" w:sz="4" w:space="0"/>
            </w:tcBorders>
            <w:shd w:val="clear" w:color="auto" w:fill="auto"/>
            <w:noWrap/>
            <w:vAlign w:val="center"/>
          </w:tcPr>
          <w:p w14:paraId="733A809F">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c>
          <w:tcPr>
            <w:tcW w:w="992" w:type="dxa"/>
            <w:tcBorders>
              <w:top w:val="nil"/>
              <w:left w:val="nil"/>
              <w:bottom w:val="single" w:color="auto" w:sz="4" w:space="0"/>
              <w:right w:val="single" w:color="auto" w:sz="4" w:space="0"/>
            </w:tcBorders>
            <w:shd w:val="clear" w:color="auto" w:fill="auto"/>
            <w:noWrap/>
            <w:vAlign w:val="center"/>
          </w:tcPr>
          <w:p w14:paraId="4F9866A3">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c>
          <w:tcPr>
            <w:tcW w:w="851" w:type="dxa"/>
            <w:tcBorders>
              <w:top w:val="nil"/>
              <w:left w:val="nil"/>
              <w:bottom w:val="single" w:color="auto" w:sz="4" w:space="0"/>
              <w:right w:val="single" w:color="auto" w:sz="8" w:space="0"/>
            </w:tcBorders>
            <w:shd w:val="clear" w:color="auto" w:fill="auto"/>
            <w:noWrap/>
            <w:vAlign w:val="center"/>
          </w:tcPr>
          <w:p w14:paraId="71197B75">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　</w:t>
            </w:r>
          </w:p>
        </w:tc>
      </w:tr>
      <w:tr w14:paraId="207FB315">
        <w:tblPrEx>
          <w:tblCellMar>
            <w:top w:w="0" w:type="dxa"/>
            <w:left w:w="108" w:type="dxa"/>
            <w:bottom w:w="0" w:type="dxa"/>
            <w:right w:w="108" w:type="dxa"/>
          </w:tblCellMar>
        </w:tblPrEx>
        <w:trPr>
          <w:trHeight w:val="765" w:hRule="atLeast"/>
        </w:trPr>
        <w:tc>
          <w:tcPr>
            <w:tcW w:w="903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2E11AA49">
            <w:pPr>
              <w:pStyle w:val="11"/>
              <w:keepNext w:val="0"/>
              <w:keepLines w:val="0"/>
              <w:pageBreakBefore w:val="0"/>
              <w:widowControl/>
              <w:kinsoku/>
              <w:wordWrap/>
              <w:overflowPunct/>
              <w:topLinePunct w:val="0"/>
              <w:bidi w:val="0"/>
              <w:snapToGrid/>
              <w:spacing w:line="440" w:lineRule="exact"/>
              <w:ind w:left="360" w:firstLine="0" w:firstLineChars="0"/>
              <w:jc w:val="left"/>
              <w:outlineLvl w:val="1"/>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注：</w:t>
            </w:r>
            <w:r>
              <w:rPr>
                <w:rFonts w:hint="eastAsia" w:ascii="方正仿宋_GB2312" w:hAnsi="方正仿宋_GB2312" w:eastAsia="方正仿宋_GB2312" w:cs="方正仿宋_GB2312"/>
                <w:color w:val="000000" w:themeColor="text1"/>
                <w:sz w:val="28"/>
                <w:szCs w:val="28"/>
                <w14:textFill>
                  <w14:solidFill>
                    <w14:schemeClr w14:val="tx1"/>
                  </w14:solidFill>
                </w14:textFill>
              </w:rPr>
              <w:t>非核心刊物论文应提供代表作2篇，纳入评选范畴，核心刊物不设上限。</w:t>
            </w:r>
          </w:p>
        </w:tc>
      </w:tr>
    </w:tbl>
    <w:p w14:paraId="0B82D5BD">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br w:type="page"/>
      </w:r>
    </w:p>
    <w:tbl>
      <w:tblPr>
        <w:tblStyle w:val="7"/>
        <w:tblW w:w="9020" w:type="dxa"/>
        <w:tblInd w:w="0" w:type="dxa"/>
        <w:tblLayout w:type="fixed"/>
        <w:tblCellMar>
          <w:top w:w="0" w:type="dxa"/>
          <w:left w:w="108" w:type="dxa"/>
          <w:bottom w:w="0" w:type="dxa"/>
          <w:right w:w="108" w:type="dxa"/>
        </w:tblCellMar>
      </w:tblPr>
      <w:tblGrid>
        <w:gridCol w:w="2542"/>
        <w:gridCol w:w="2268"/>
        <w:gridCol w:w="4210"/>
      </w:tblGrid>
      <w:tr w14:paraId="6758BC5C">
        <w:tblPrEx>
          <w:tblCellMar>
            <w:top w:w="0" w:type="dxa"/>
            <w:left w:w="108" w:type="dxa"/>
            <w:bottom w:w="0" w:type="dxa"/>
            <w:right w:w="108" w:type="dxa"/>
          </w:tblCellMar>
        </w:tblPrEx>
        <w:trPr>
          <w:trHeight w:val="515" w:hRule="atLeast"/>
        </w:trPr>
        <w:tc>
          <w:tcPr>
            <w:tcW w:w="9020" w:type="dxa"/>
            <w:gridSpan w:val="3"/>
            <w:tcBorders>
              <w:top w:val="single" w:color="auto" w:sz="8" w:space="0"/>
              <w:left w:val="single" w:color="auto" w:sz="8" w:space="0"/>
              <w:bottom w:val="single" w:color="auto" w:sz="4" w:space="0"/>
              <w:right w:val="single" w:color="000000" w:sz="8" w:space="0"/>
            </w:tcBorders>
            <w:shd w:val="clear" w:color="auto" w:fill="auto"/>
            <w:noWrap/>
            <w:vAlign w:val="center"/>
          </w:tcPr>
          <w:p w14:paraId="616FB6C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创作获奖</w:t>
            </w:r>
          </w:p>
        </w:tc>
      </w:tr>
      <w:tr w14:paraId="48F6E59D">
        <w:tblPrEx>
          <w:tblCellMar>
            <w:top w:w="0" w:type="dxa"/>
            <w:left w:w="108" w:type="dxa"/>
            <w:bottom w:w="0" w:type="dxa"/>
            <w:right w:w="108" w:type="dxa"/>
          </w:tblCellMar>
        </w:tblPrEx>
        <w:trPr>
          <w:trHeight w:val="525"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4849A842">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级别</w:t>
            </w:r>
          </w:p>
        </w:tc>
        <w:tc>
          <w:tcPr>
            <w:tcW w:w="2268" w:type="dxa"/>
            <w:tcBorders>
              <w:top w:val="nil"/>
              <w:left w:val="nil"/>
              <w:bottom w:val="single" w:color="auto" w:sz="4" w:space="0"/>
              <w:right w:val="single" w:color="auto" w:sz="4" w:space="0"/>
            </w:tcBorders>
            <w:shd w:val="clear" w:color="auto" w:fill="auto"/>
            <w:noWrap/>
            <w:vAlign w:val="center"/>
          </w:tcPr>
          <w:p w14:paraId="0DE9DD7C">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主创人员</w:t>
            </w:r>
          </w:p>
        </w:tc>
        <w:tc>
          <w:tcPr>
            <w:tcW w:w="4210" w:type="dxa"/>
            <w:tcBorders>
              <w:top w:val="nil"/>
              <w:left w:val="nil"/>
              <w:bottom w:val="single" w:color="auto" w:sz="4" w:space="0"/>
              <w:right w:val="single" w:color="auto" w:sz="8" w:space="0"/>
            </w:tcBorders>
            <w:shd w:val="clear" w:color="auto" w:fill="auto"/>
            <w:noWrap/>
            <w:vAlign w:val="center"/>
          </w:tcPr>
          <w:p w14:paraId="27EC8526">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8"/>
                <w:szCs w:val="28"/>
                <w14:textFill>
                  <w14:solidFill>
                    <w14:schemeClr w14:val="tx1"/>
                  </w14:solidFill>
                </w14:textFill>
              </w:rPr>
              <w:t>承认机构</w:t>
            </w:r>
          </w:p>
        </w:tc>
      </w:tr>
      <w:tr w14:paraId="48CCE9F8">
        <w:tblPrEx>
          <w:tblCellMar>
            <w:top w:w="0" w:type="dxa"/>
            <w:left w:w="108" w:type="dxa"/>
            <w:bottom w:w="0" w:type="dxa"/>
            <w:right w:w="108" w:type="dxa"/>
          </w:tblCellMar>
        </w:tblPrEx>
        <w:trPr>
          <w:trHeight w:val="690"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0016A3A6">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国家级（权威机构）</w:t>
            </w:r>
          </w:p>
        </w:tc>
        <w:tc>
          <w:tcPr>
            <w:tcW w:w="2268" w:type="dxa"/>
            <w:tcBorders>
              <w:top w:val="nil"/>
              <w:left w:val="nil"/>
              <w:bottom w:val="single" w:color="auto" w:sz="4" w:space="0"/>
              <w:right w:val="single" w:color="auto" w:sz="4" w:space="0"/>
            </w:tcBorders>
            <w:shd w:val="clear" w:color="auto" w:fill="auto"/>
            <w:noWrap/>
            <w:vAlign w:val="center"/>
          </w:tcPr>
          <w:p w14:paraId="55A99D8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12-15</w:t>
            </w:r>
          </w:p>
        </w:tc>
        <w:tc>
          <w:tcPr>
            <w:tcW w:w="4210" w:type="dxa"/>
            <w:tcBorders>
              <w:top w:val="nil"/>
              <w:left w:val="nil"/>
              <w:bottom w:val="single" w:color="auto" w:sz="4" w:space="0"/>
              <w:right w:val="single" w:color="auto" w:sz="8" w:space="0"/>
            </w:tcBorders>
            <w:shd w:val="clear" w:color="auto" w:fill="auto"/>
            <w:vAlign w:val="center"/>
          </w:tcPr>
          <w:p w14:paraId="79498A40">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sz w:val="28"/>
                <w:szCs w:val="28"/>
                <w:lang w:val="en-US" w:eastAsia="zh-CN"/>
              </w:rPr>
            </w:pPr>
            <w:r>
              <w:rPr>
                <w:rFonts w:hint="eastAsia" w:ascii="华文仿宋" w:hAnsi="华文仿宋" w:eastAsia="华文仿宋" w:cs="华文仿宋"/>
                <w:color w:val="000000"/>
                <w:sz w:val="28"/>
                <w:szCs w:val="28"/>
              </w:rPr>
              <w:t>教育部、中国文联、文化部、文旅部、中国作协等授予，如文旅部重点剧目扶持项目、国家艺术基金项目项目负责人（大型舞台剧和作品创作资助项目、青年艺术创作人才资助项目等）；</w:t>
            </w:r>
            <w:r>
              <w:rPr>
                <w:rFonts w:hint="eastAsia" w:ascii="华文仿宋" w:hAnsi="华文仿宋" w:eastAsia="华文仿宋" w:cs="华文仿宋"/>
                <w:color w:val="000000"/>
                <w:spacing w:val="0"/>
                <w:sz w:val="28"/>
                <w:szCs w:val="28"/>
              </w:rPr>
              <w:t>中国国际大学生创新大赛（原“互联网+”）</w:t>
            </w:r>
            <w:r>
              <w:rPr>
                <w:rFonts w:hint="eastAsia" w:ascii="华文仿宋" w:hAnsi="华文仿宋" w:eastAsia="华文仿宋" w:cs="华文仿宋"/>
                <w:color w:val="000000"/>
                <w:sz w:val="28"/>
                <w:szCs w:val="28"/>
              </w:rPr>
              <w:t>、“挑战杯”、</w:t>
            </w:r>
            <w:r>
              <w:rPr>
                <w:rFonts w:hint="eastAsia" w:ascii="华文仿宋" w:hAnsi="华文仿宋" w:eastAsia="华文仿宋" w:cs="华文仿宋"/>
                <w:color w:val="000000"/>
                <w:sz w:val="28"/>
                <w:szCs w:val="28"/>
                <w:lang w:eastAsia="zh-Hans"/>
              </w:rPr>
              <w:t xml:space="preserve"> 全国大学生职业规划大赛、中国研究生“文化中国”两创大赛等学科竞赛国赛获奖。</w:t>
            </w:r>
          </w:p>
        </w:tc>
      </w:tr>
      <w:tr w14:paraId="5EAB6163">
        <w:tblPrEx>
          <w:tblCellMar>
            <w:top w:w="0" w:type="dxa"/>
            <w:left w:w="108" w:type="dxa"/>
            <w:bottom w:w="0" w:type="dxa"/>
            <w:right w:w="108" w:type="dxa"/>
          </w:tblCellMar>
        </w:tblPrEx>
        <w:trPr>
          <w:trHeight w:val="1481"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6D9C949B">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省部级（权威机构）</w:t>
            </w:r>
          </w:p>
        </w:tc>
        <w:tc>
          <w:tcPr>
            <w:tcW w:w="2268" w:type="dxa"/>
            <w:tcBorders>
              <w:top w:val="nil"/>
              <w:left w:val="nil"/>
              <w:bottom w:val="single" w:color="auto" w:sz="4" w:space="0"/>
              <w:right w:val="single" w:color="auto" w:sz="4" w:space="0"/>
            </w:tcBorders>
            <w:shd w:val="clear" w:color="auto" w:fill="auto"/>
            <w:noWrap/>
            <w:vAlign w:val="center"/>
          </w:tcPr>
          <w:p w14:paraId="38C410D4">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8-10</w:t>
            </w:r>
          </w:p>
        </w:tc>
        <w:tc>
          <w:tcPr>
            <w:tcW w:w="4210" w:type="dxa"/>
            <w:tcBorders>
              <w:top w:val="nil"/>
              <w:left w:val="nil"/>
              <w:bottom w:val="single" w:color="auto" w:sz="4" w:space="0"/>
              <w:right w:val="single" w:color="auto" w:sz="8" w:space="0"/>
            </w:tcBorders>
            <w:shd w:val="clear" w:color="auto" w:fill="auto"/>
            <w:vAlign w:val="center"/>
          </w:tcPr>
          <w:p w14:paraId="290EB68C">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华文仿宋" w:hAnsi="华文仿宋" w:eastAsia="华文仿宋" w:cs="华文仿宋"/>
                <w:color w:val="000000"/>
                <w:sz w:val="28"/>
                <w:szCs w:val="28"/>
              </w:rPr>
              <w:t>省部级奖励是指各省、自治区、直辖市党委或人民政府直接授予的奖励和国家各部委授予的奖励或中国文联下属各协会，如中国剧协、中国影协等授予；上海市文化发展基金会扶持项目负责人；中国国际大学生创新大赛（原“互联网+”）、“挑战杯” 、全国大学生职业规划大赛、中国研究生“文化中国”两创大赛等学科竞赛省部级获奖，入围国赛；</w:t>
            </w:r>
            <w:r>
              <w:rPr>
                <w:rFonts w:ascii="华文仿宋" w:hAnsi="华文仿宋" w:eastAsia="华文仿宋" w:cs="华文仿宋"/>
                <w:color w:val="000000"/>
                <w:sz w:val="28"/>
                <w:szCs w:val="28"/>
              </w:rPr>
              <w:t>署名</w:t>
            </w:r>
            <w:r>
              <w:rPr>
                <w:rFonts w:hint="eastAsia" w:ascii="华文仿宋" w:hAnsi="华文仿宋" w:eastAsia="华文仿宋" w:cs="华文仿宋"/>
                <w:color w:val="000000"/>
                <w:sz w:val="28"/>
                <w:szCs w:val="28"/>
              </w:rPr>
              <w:t>主要演员</w:t>
            </w:r>
            <w:r>
              <w:rPr>
                <w:rFonts w:ascii="华文仿宋" w:hAnsi="华文仿宋" w:eastAsia="华文仿宋" w:cs="华文仿宋"/>
                <w:color w:val="000000"/>
                <w:sz w:val="28"/>
                <w:szCs w:val="28"/>
              </w:rPr>
              <w:t>的</w:t>
            </w:r>
            <w:r>
              <w:rPr>
                <w:rFonts w:hint="eastAsia" w:ascii="华文仿宋" w:hAnsi="华文仿宋" w:eastAsia="华文仿宋" w:cs="华文仿宋"/>
                <w:color w:val="000000"/>
                <w:sz w:val="28"/>
                <w:szCs w:val="28"/>
              </w:rPr>
              <w:t>影视</w:t>
            </w:r>
            <w:r>
              <w:rPr>
                <w:rFonts w:ascii="华文仿宋" w:hAnsi="华文仿宋" w:eastAsia="华文仿宋" w:cs="华文仿宋"/>
                <w:color w:val="000000"/>
                <w:sz w:val="28"/>
                <w:szCs w:val="28"/>
              </w:rPr>
              <w:t>作品由卫视或腾讯、优酷、爱奇艺官方认定发行并播出；入围乌镇戏剧节、北京国际电影节、上海国际电影节</w:t>
            </w:r>
            <w:r>
              <w:rPr>
                <w:rFonts w:hint="eastAsia" w:ascii="华文仿宋" w:hAnsi="华文仿宋" w:eastAsia="华文仿宋" w:cs="华文仿宋"/>
                <w:color w:val="000000"/>
                <w:sz w:val="28"/>
                <w:szCs w:val="28"/>
              </w:rPr>
              <w:t>，上海市大学生话剧节获奖</w:t>
            </w:r>
            <w:r>
              <w:rPr>
                <w:rFonts w:ascii="华文仿宋" w:hAnsi="华文仿宋" w:eastAsia="华文仿宋" w:cs="华文仿宋"/>
                <w:color w:val="000000"/>
                <w:sz w:val="28"/>
                <w:szCs w:val="28"/>
              </w:rPr>
              <w:t>等。</w:t>
            </w:r>
          </w:p>
        </w:tc>
      </w:tr>
      <w:tr w14:paraId="20F5A83E">
        <w:tblPrEx>
          <w:tblCellMar>
            <w:top w:w="0" w:type="dxa"/>
            <w:left w:w="108" w:type="dxa"/>
            <w:bottom w:w="0" w:type="dxa"/>
            <w:right w:w="108" w:type="dxa"/>
          </w:tblCellMar>
        </w:tblPrEx>
        <w:trPr>
          <w:trHeight w:val="915"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76204722">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地厅级（权威机构）</w:t>
            </w:r>
          </w:p>
        </w:tc>
        <w:tc>
          <w:tcPr>
            <w:tcW w:w="2268" w:type="dxa"/>
            <w:tcBorders>
              <w:top w:val="nil"/>
              <w:left w:val="nil"/>
              <w:bottom w:val="single" w:color="auto" w:sz="4" w:space="0"/>
              <w:right w:val="single" w:color="auto" w:sz="4" w:space="0"/>
            </w:tcBorders>
            <w:shd w:val="clear" w:color="auto" w:fill="auto"/>
            <w:noWrap/>
            <w:vAlign w:val="center"/>
          </w:tcPr>
          <w:p w14:paraId="6E29DBD5">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4-8</w:t>
            </w:r>
          </w:p>
        </w:tc>
        <w:tc>
          <w:tcPr>
            <w:tcW w:w="4210" w:type="dxa"/>
            <w:tcBorders>
              <w:top w:val="nil"/>
              <w:left w:val="nil"/>
              <w:bottom w:val="single" w:color="auto" w:sz="4" w:space="0"/>
              <w:right w:val="single" w:color="auto" w:sz="8" w:space="0"/>
            </w:tcBorders>
            <w:shd w:val="clear" w:color="auto" w:fill="auto"/>
            <w:vAlign w:val="center"/>
          </w:tcPr>
          <w:p w14:paraId="265C7828">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t>上</w:t>
            </w:r>
            <w:r>
              <w:rPr>
                <w:rFonts w:hint="eastAsia" w:ascii="华文仿宋" w:hAnsi="华文仿宋" w:eastAsia="华文仿宋" w:cs="华文仿宋"/>
                <w:color w:val="000000"/>
                <w:sz w:val="28"/>
                <w:szCs w:val="28"/>
              </w:rPr>
              <w:t>上海市教委、中国舞美学会、上海社联等授予；中国国际大学生创新大赛、“挑战杯”、全国大学生职业规划大赛、中国研究生“文化中国”两创大赛等学科竞赛获奖</w:t>
            </w:r>
            <w:r>
              <w:rPr>
                <w:rFonts w:ascii="华文仿宋" w:hAnsi="华文仿宋" w:eastAsia="华文仿宋" w:cs="华文仿宋"/>
                <w:color w:val="000000"/>
                <w:sz w:val="28"/>
                <w:szCs w:val="28"/>
              </w:rPr>
              <w:t>；署名</w:t>
            </w:r>
            <w:r>
              <w:rPr>
                <w:rFonts w:hint="eastAsia" w:ascii="华文仿宋" w:hAnsi="华文仿宋" w:eastAsia="华文仿宋" w:cs="华文仿宋"/>
                <w:color w:val="000000"/>
                <w:sz w:val="28"/>
                <w:szCs w:val="28"/>
              </w:rPr>
              <w:t>主要演员</w:t>
            </w:r>
            <w:r>
              <w:rPr>
                <w:rFonts w:ascii="华文仿宋" w:hAnsi="华文仿宋" w:eastAsia="华文仿宋" w:cs="华文仿宋"/>
                <w:color w:val="000000"/>
                <w:sz w:val="28"/>
                <w:szCs w:val="28"/>
              </w:rPr>
              <w:t>的</w:t>
            </w:r>
            <w:r>
              <w:rPr>
                <w:rFonts w:hint="eastAsia" w:ascii="华文仿宋" w:hAnsi="华文仿宋" w:eastAsia="华文仿宋" w:cs="华文仿宋"/>
                <w:color w:val="000000"/>
                <w:sz w:val="28"/>
                <w:szCs w:val="28"/>
              </w:rPr>
              <w:t>影视作品</w:t>
            </w:r>
            <w:r>
              <w:rPr>
                <w:rFonts w:ascii="华文仿宋" w:hAnsi="华文仿宋" w:eastAsia="华文仿宋" w:cs="华文仿宋"/>
                <w:color w:val="000000"/>
                <w:sz w:val="28"/>
                <w:szCs w:val="28"/>
              </w:rPr>
              <w:t>由芒果TV等同档平台官方认定发行并播出；入围大凉山戏剧节、阿那亚戏剧节等。</w:t>
            </w:r>
          </w:p>
        </w:tc>
      </w:tr>
      <w:tr w14:paraId="389F6FA9">
        <w:tblPrEx>
          <w:tblCellMar>
            <w:top w:w="0" w:type="dxa"/>
            <w:left w:w="108" w:type="dxa"/>
            <w:bottom w:w="0" w:type="dxa"/>
            <w:right w:w="108" w:type="dxa"/>
          </w:tblCellMar>
        </w:tblPrEx>
        <w:trPr>
          <w:trHeight w:val="915"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3FB1BDCD">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t>区县级</w:t>
            </w:r>
          </w:p>
        </w:tc>
        <w:tc>
          <w:tcPr>
            <w:tcW w:w="2268" w:type="dxa"/>
            <w:tcBorders>
              <w:top w:val="nil"/>
              <w:left w:val="nil"/>
              <w:bottom w:val="single" w:color="auto" w:sz="4" w:space="0"/>
              <w:right w:val="single" w:color="auto" w:sz="4" w:space="0"/>
            </w:tcBorders>
            <w:shd w:val="clear" w:color="auto" w:fill="auto"/>
            <w:noWrap/>
            <w:vAlign w:val="center"/>
          </w:tcPr>
          <w:p w14:paraId="1341EC21">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t>2-3</w:t>
            </w:r>
          </w:p>
        </w:tc>
        <w:tc>
          <w:tcPr>
            <w:tcW w:w="4210" w:type="dxa"/>
            <w:tcBorders>
              <w:top w:val="nil"/>
              <w:left w:val="nil"/>
              <w:bottom w:val="single" w:color="auto" w:sz="4" w:space="0"/>
              <w:right w:val="single" w:color="auto" w:sz="8" w:space="0"/>
            </w:tcBorders>
            <w:shd w:val="clear" w:color="auto" w:fill="auto"/>
            <w:vAlign w:val="center"/>
          </w:tcPr>
          <w:p w14:paraId="69123C6B">
            <w:pPr>
              <w:ind w:firstLine="0" w:firstLineChars="0"/>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pPr>
            <w:r>
              <w:rPr>
                <w:rFonts w:hint="eastAsia" w:ascii="华文仿宋" w:hAnsi="华文仿宋" w:eastAsia="华文仿宋" w:cs="华文仿宋"/>
                <w:color w:val="000000"/>
                <w:sz w:val="28"/>
                <w:szCs w:val="28"/>
              </w:rPr>
              <w:t>区县、民营机构授予；入围民间大学生戏剧节、市民戏剧节/电影节或获奖；署名主要演员的影视作品由区县级、其他民营机构等平台播出。</w:t>
            </w:r>
          </w:p>
        </w:tc>
      </w:tr>
      <w:tr w14:paraId="63958203">
        <w:tblPrEx>
          <w:tblCellMar>
            <w:top w:w="0" w:type="dxa"/>
            <w:left w:w="108" w:type="dxa"/>
            <w:bottom w:w="0" w:type="dxa"/>
            <w:right w:w="108" w:type="dxa"/>
          </w:tblCellMar>
        </w:tblPrEx>
        <w:trPr>
          <w:trHeight w:val="915" w:hRule="atLeast"/>
        </w:trPr>
        <w:tc>
          <w:tcPr>
            <w:tcW w:w="2542" w:type="dxa"/>
            <w:tcBorders>
              <w:top w:val="nil"/>
              <w:left w:val="single" w:color="auto" w:sz="8" w:space="0"/>
              <w:bottom w:val="single" w:color="auto" w:sz="4" w:space="0"/>
              <w:right w:val="single" w:color="auto" w:sz="4" w:space="0"/>
            </w:tcBorders>
            <w:shd w:val="clear" w:color="auto" w:fill="auto"/>
            <w:noWrap/>
            <w:vAlign w:val="center"/>
          </w:tcPr>
          <w:p w14:paraId="334F8EC7">
            <w:pPr>
              <w:keepNext w:val="0"/>
              <w:keepLines w:val="0"/>
              <w:pageBreakBefore w:val="0"/>
              <w:widowControl/>
              <w:kinsoku/>
              <w:wordWrap/>
              <w:overflowPunct/>
              <w:topLinePunct w:val="0"/>
              <w:bidi w:val="0"/>
              <w:snapToGrid/>
              <w:spacing w:line="440" w:lineRule="exact"/>
              <w:jc w:val="left"/>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t>校级</w:t>
            </w:r>
          </w:p>
        </w:tc>
        <w:tc>
          <w:tcPr>
            <w:tcW w:w="2268" w:type="dxa"/>
            <w:tcBorders>
              <w:top w:val="nil"/>
              <w:left w:val="nil"/>
              <w:bottom w:val="single" w:color="auto" w:sz="4" w:space="0"/>
              <w:right w:val="single" w:color="auto" w:sz="4" w:space="0"/>
            </w:tcBorders>
            <w:shd w:val="clear" w:color="auto" w:fill="auto"/>
            <w:noWrap/>
            <w:vAlign w:val="center"/>
          </w:tcPr>
          <w:p w14:paraId="2D3B4199">
            <w:pPr>
              <w:keepNext w:val="0"/>
              <w:keepLines w:val="0"/>
              <w:pageBreakBefore w:val="0"/>
              <w:widowControl/>
              <w:kinsoku/>
              <w:wordWrap/>
              <w:overflowPunct/>
              <w:topLinePunct w:val="0"/>
              <w:bidi w:val="0"/>
              <w:snapToGrid/>
              <w:spacing w:line="440" w:lineRule="exact"/>
              <w:jc w:val="center"/>
              <w:rPr>
                <w:rFonts w:hint="eastAsia" w:ascii="方正仿宋_GB2312" w:hAnsi="方正仿宋_GB2312" w:eastAsia="方正仿宋_GB2312" w:cs="方正仿宋_GB2312"/>
                <w:color w:val="000000" w:themeColor="text1"/>
                <w:kern w:val="0"/>
                <w:sz w:val="28"/>
                <w:szCs w:val="28"/>
                <w:lang w:val="en-US" w:eastAsia="zh-Hans"/>
                <w14:textFill>
                  <w14:solidFill>
                    <w14:schemeClr w14:val="tx1"/>
                  </w14:solidFill>
                </w14:textFill>
              </w:rPr>
            </w:pPr>
            <w:r>
              <w:rPr>
                <w:rFonts w:hint="eastAsia" w:ascii="方正仿宋_GB2312" w:hAnsi="方正仿宋_GB2312" w:eastAsia="方正仿宋_GB2312" w:cs="方正仿宋_GB2312"/>
                <w:color w:val="000000" w:themeColor="text1"/>
                <w:kern w:val="0"/>
                <w:sz w:val="28"/>
                <w:szCs w:val="28"/>
                <w:lang w:val="en-US" w:eastAsia="zh-Hans"/>
                <w14:textFill>
                  <w14:solidFill>
                    <w14:schemeClr w14:val="tx1"/>
                  </w14:solidFill>
                </w14:textFill>
              </w:rPr>
              <w:t>1-2</w:t>
            </w:r>
          </w:p>
        </w:tc>
        <w:tc>
          <w:tcPr>
            <w:tcW w:w="4210" w:type="dxa"/>
            <w:tcBorders>
              <w:top w:val="nil"/>
              <w:left w:val="nil"/>
              <w:bottom w:val="single" w:color="auto" w:sz="4" w:space="0"/>
              <w:right w:val="single" w:color="auto" w:sz="8" w:space="0"/>
            </w:tcBorders>
            <w:shd w:val="clear" w:color="auto" w:fill="auto"/>
            <w:vAlign w:val="center"/>
          </w:tcPr>
          <w:p w14:paraId="7B03F0FE">
            <w:pPr>
              <w:ind w:firstLine="0" w:firstLineChars="0"/>
              <w:rPr>
                <w:rFonts w:hint="eastAsia" w:ascii="方正仿宋_GB2312" w:hAnsi="方正仿宋_GB2312" w:eastAsia="方正仿宋_GB2312" w:cs="方正仿宋_GB2312"/>
                <w:color w:val="000000" w:themeColor="text1"/>
                <w:kern w:val="0"/>
                <w:sz w:val="28"/>
                <w:szCs w:val="28"/>
                <w:lang w:val="en-US" w:eastAsia="zh-CN"/>
                <w14:textFill>
                  <w14:solidFill>
                    <w14:schemeClr w14:val="tx1"/>
                  </w14:solidFill>
                </w14:textFill>
              </w:rPr>
            </w:pPr>
            <w:r>
              <w:rPr>
                <w:rFonts w:hint="eastAsia" w:ascii="华文仿宋" w:hAnsi="华文仿宋" w:eastAsia="华文仿宋" w:cs="华文仿宋"/>
                <w:color w:val="000000"/>
                <w:sz w:val="28"/>
                <w:szCs w:val="28"/>
              </w:rPr>
              <w:t>校级组织的各类奖项。</w:t>
            </w:r>
          </w:p>
        </w:tc>
      </w:tr>
    </w:tbl>
    <w:p w14:paraId="3677DD36">
      <w:pPr>
        <w:ind w:firstLine="0" w:firstLineChars="0"/>
        <w:rPr>
          <w:rFonts w:ascii="华文仿宋" w:hAnsi="华文仿宋" w:eastAsia="华文仿宋" w:cs="华文仿宋"/>
          <w:color w:val="000000"/>
          <w:sz w:val="28"/>
          <w:szCs w:val="28"/>
          <w:lang w:eastAsia="zh-Hans"/>
        </w:rPr>
      </w:pPr>
      <w:r>
        <w:rPr>
          <w:rFonts w:hint="eastAsia" w:ascii="华文仿宋" w:hAnsi="华文仿宋" w:eastAsia="华文仿宋" w:cs="华文仿宋"/>
          <w:color w:val="000000"/>
          <w:sz w:val="28"/>
          <w:szCs w:val="28"/>
          <w:lang w:eastAsia="zh-Hans"/>
        </w:rPr>
        <w:t>说明：</w:t>
      </w:r>
    </w:p>
    <w:p w14:paraId="531C5DAA">
      <w:pPr>
        <w:ind w:firstLine="560" w:firstLineChars="200"/>
        <w:rPr>
          <w:rFonts w:ascii="华文仿宋" w:hAnsi="华文仿宋" w:eastAsia="华文仿宋" w:cs="华文仿宋"/>
          <w:color w:val="000000"/>
          <w:sz w:val="28"/>
          <w:szCs w:val="28"/>
          <w:lang w:eastAsia="zh-Hans"/>
        </w:rPr>
      </w:pPr>
      <w:r>
        <w:rPr>
          <w:rFonts w:ascii="华文仿宋" w:hAnsi="华文仿宋" w:eastAsia="华文仿宋" w:cs="华文仿宋"/>
          <w:color w:val="000000"/>
          <w:sz w:val="28"/>
          <w:szCs w:val="28"/>
          <w:lang w:eastAsia="zh-Hans"/>
        </w:rPr>
        <w:t>①须与本专业相关的艺术实践，创作奖项可参考附表《高级职称学术与技术成果说明》</w:t>
      </w:r>
      <w:r>
        <w:rPr>
          <w:rFonts w:hint="eastAsia" w:ascii="华文仿宋" w:hAnsi="华文仿宋" w:eastAsia="华文仿宋" w:cs="华文仿宋"/>
          <w:color w:val="000000"/>
          <w:sz w:val="28"/>
          <w:szCs w:val="28"/>
          <w:lang w:eastAsia="zh-Hans"/>
        </w:rPr>
        <w:t>中</w:t>
      </w:r>
      <w:r>
        <w:rPr>
          <w:rFonts w:ascii="华文仿宋" w:hAnsi="华文仿宋" w:eastAsia="华文仿宋" w:cs="华文仿宋"/>
          <w:color w:val="000000"/>
          <w:sz w:val="28"/>
          <w:szCs w:val="28"/>
          <w:lang w:eastAsia="zh-Hans"/>
        </w:rPr>
        <w:t>的“创作类奖项”，申报须提交佐证材料。</w:t>
      </w:r>
    </w:p>
    <w:p w14:paraId="7D964125">
      <w:pPr>
        <w:ind w:firstLine="560" w:firstLineChars="200"/>
        <w:rPr>
          <w:rFonts w:ascii="华文仿宋" w:hAnsi="华文仿宋" w:eastAsia="华文仿宋" w:cs="华文仿宋"/>
          <w:color w:val="000000"/>
          <w:sz w:val="28"/>
          <w:szCs w:val="28"/>
          <w:lang w:eastAsia="zh-Hans"/>
        </w:rPr>
      </w:pPr>
      <w:r>
        <w:rPr>
          <w:rFonts w:ascii="华文仿宋" w:hAnsi="华文仿宋" w:eastAsia="华文仿宋" w:cs="华文仿宋"/>
          <w:color w:val="000000"/>
          <w:sz w:val="28"/>
          <w:szCs w:val="28"/>
          <w:lang w:eastAsia="zh-Hans"/>
        </w:rPr>
        <w:t>②</w:t>
      </w:r>
      <w:r>
        <w:rPr>
          <w:rFonts w:hint="eastAsia" w:ascii="华文仿宋" w:hAnsi="华文仿宋" w:eastAsia="华文仿宋" w:cs="华文仿宋"/>
          <w:color w:val="000000"/>
          <w:sz w:val="28"/>
          <w:szCs w:val="28"/>
          <w:lang w:eastAsia="zh-Hans"/>
        </w:rPr>
        <w:t>作品立项</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需结项</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加分部分</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须参照项目主要负责人</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申报人</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项目组成员排名前三</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进行加分认定</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lang w:eastAsia="zh-Hans"/>
        </w:rPr>
        <w:t>申报需要提交佐证材料</w:t>
      </w:r>
      <w:r>
        <w:rPr>
          <w:rFonts w:ascii="华文仿宋" w:hAnsi="华文仿宋" w:eastAsia="华文仿宋" w:cs="华文仿宋"/>
          <w:color w:val="000000"/>
          <w:sz w:val="28"/>
          <w:szCs w:val="28"/>
          <w:lang w:eastAsia="zh-Hans"/>
        </w:rPr>
        <w:t>。</w:t>
      </w:r>
    </w:p>
    <w:p w14:paraId="67AC32D5">
      <w:pPr>
        <w:ind w:firstLine="560" w:firstLineChars="200"/>
        <w:rPr>
          <w:rFonts w:ascii="华文仿宋" w:hAnsi="华文仿宋" w:eastAsia="华文仿宋" w:cs="华文仿宋"/>
          <w:color w:val="000000"/>
          <w:sz w:val="28"/>
          <w:szCs w:val="28"/>
        </w:rPr>
      </w:pPr>
      <w:r>
        <w:rPr>
          <w:rFonts w:ascii="华文仿宋" w:hAnsi="华文仿宋" w:eastAsia="华文仿宋" w:cs="华文仿宋"/>
          <w:color w:val="000000"/>
          <w:sz w:val="28"/>
          <w:szCs w:val="28"/>
          <w:lang w:eastAsia="zh-Hans"/>
        </w:rPr>
        <w:t>③MA</w:t>
      </w:r>
      <w:r>
        <w:rPr>
          <w:rFonts w:hint="eastAsia" w:ascii="华文仿宋" w:hAnsi="华文仿宋" w:eastAsia="华文仿宋" w:cs="华文仿宋"/>
          <w:color w:val="000000"/>
          <w:sz w:val="28"/>
          <w:szCs w:val="28"/>
          <w:lang w:eastAsia="zh-Hans"/>
        </w:rPr>
        <w:t>如有艺术类创作项目</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rPr>
        <w:t>最多</w:t>
      </w:r>
      <w:r>
        <w:rPr>
          <w:rFonts w:hint="eastAsia" w:ascii="华文仿宋" w:hAnsi="华文仿宋" w:eastAsia="华文仿宋" w:cs="华文仿宋"/>
          <w:color w:val="000000"/>
          <w:sz w:val="28"/>
          <w:szCs w:val="28"/>
          <w:lang w:eastAsia="zh-Hans"/>
        </w:rPr>
        <w:t>申报认定2项</w:t>
      </w:r>
      <w:r>
        <w:rPr>
          <w:rFonts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rPr>
        <w:t>须</w:t>
      </w:r>
      <w:r>
        <w:rPr>
          <w:rFonts w:hint="eastAsia" w:ascii="华文仿宋" w:hAnsi="华文仿宋" w:eastAsia="华文仿宋" w:cs="华文仿宋"/>
          <w:color w:val="000000"/>
          <w:sz w:val="28"/>
          <w:szCs w:val="28"/>
          <w:lang w:eastAsia="zh-Hans"/>
        </w:rPr>
        <w:t>提供佐证材料</w:t>
      </w:r>
      <w:r>
        <w:rPr>
          <w:rFonts w:hint="eastAsia" w:ascii="华文仿宋" w:hAnsi="华文仿宋" w:eastAsia="华文仿宋" w:cs="华文仿宋"/>
          <w:color w:val="000000"/>
          <w:sz w:val="28"/>
          <w:szCs w:val="28"/>
        </w:rPr>
        <w:t>并经认定后，根据艺术创作实践类别标准予以加分</w:t>
      </w:r>
      <w:r>
        <w:rPr>
          <w:rFonts w:hint="eastAsia" w:ascii="华文仿宋" w:hAnsi="华文仿宋" w:eastAsia="华文仿宋" w:cs="华文仿宋"/>
          <w:color w:val="000000"/>
          <w:sz w:val="28"/>
          <w:szCs w:val="28"/>
          <w:lang w:eastAsia="zh-Hans"/>
        </w:rPr>
        <w:t>。</w:t>
      </w:r>
      <w:r>
        <w:rPr>
          <w:rFonts w:hint="eastAsia" w:ascii="华文仿宋" w:hAnsi="华文仿宋" w:eastAsia="华文仿宋" w:cs="华文仿宋"/>
          <w:color w:val="000000"/>
          <w:sz w:val="28"/>
          <w:szCs w:val="28"/>
        </w:rPr>
        <w:t>地厅级以下项目只认定2项。</w:t>
      </w:r>
    </w:p>
    <w:p w14:paraId="3ED49C9E">
      <w:pPr>
        <w:ind w:firstLine="560" w:firstLineChars="200"/>
        <w:rPr>
          <w:rFonts w:hint="eastAsia" w:ascii="华文仿宋" w:hAnsi="华文仿宋" w:eastAsia="华文仿宋" w:cs="华文仿宋"/>
          <w:color w:val="000000"/>
          <w:sz w:val="28"/>
          <w:szCs w:val="28"/>
          <w:lang w:eastAsia="zh-Hans"/>
        </w:rPr>
      </w:pPr>
      <w:r>
        <w:rPr>
          <w:rFonts w:hint="eastAsia" w:ascii="华文仿宋" w:hAnsi="华文仿宋" w:eastAsia="华文仿宋" w:cs="华文仿宋"/>
          <w:color w:val="000000"/>
          <w:sz w:val="28"/>
          <w:szCs w:val="28"/>
          <w:lang w:eastAsia="zh-Hans"/>
        </w:rPr>
        <w:t>④</w:t>
      </w:r>
      <w:r>
        <w:rPr>
          <w:rFonts w:ascii="华文仿宋" w:hAnsi="华文仿宋" w:eastAsia="华文仿宋" w:cs="华文仿宋"/>
          <w:color w:val="000000"/>
          <w:sz w:val="28"/>
          <w:szCs w:val="28"/>
          <w:lang w:eastAsia="zh-Hans"/>
        </w:rPr>
        <w:t>团体类奖项成员个人得分可按比例分档计算。获奖如为名次和奖次类同对待，如第一名对应一等奖。“中国国际大学生创新大赛”“互联网+”“挑战杯”等学科竞赛获奖，团队负责人加获奖最高分，排名前三负责人加所获奖项负责人应得分值的2/3，其他队员不超过按 1/3 折算。第二档、第三档等（申请人提供加分分档说明，如分几档，承担工作内容等，并由指导教师签字认可</w:t>
      </w:r>
      <w:r>
        <w:rPr>
          <w:rFonts w:hint="eastAsia" w:ascii="华文仿宋" w:hAnsi="华文仿宋" w:eastAsia="华文仿宋" w:cs="华文仿宋"/>
          <w:color w:val="000000"/>
          <w:sz w:val="28"/>
          <w:szCs w:val="28"/>
          <w:lang w:eastAsia="zh-Hans"/>
        </w:rPr>
        <w:t>。</w:t>
      </w:r>
      <w:r>
        <w:rPr>
          <w:rFonts w:ascii="华文仿宋" w:hAnsi="华文仿宋" w:eastAsia="华文仿宋" w:cs="华文仿宋"/>
          <w:color w:val="000000"/>
          <w:sz w:val="28"/>
          <w:szCs w:val="28"/>
          <w:lang w:eastAsia="zh-Hans"/>
        </w:rPr>
        <w:t>）</w:t>
      </w:r>
    </w:p>
    <w:p w14:paraId="7331DCA2">
      <w:pPr>
        <w:keepNext w:val="0"/>
        <w:keepLines w:val="0"/>
        <w:pageBreakBefore w:val="0"/>
        <w:kinsoku/>
        <w:wordWrap/>
        <w:overflowPunct/>
        <w:topLinePunct w:val="0"/>
        <w:bidi w:val="0"/>
        <w:snapToGrid/>
        <w:spacing w:line="440" w:lineRule="exact"/>
        <w:rPr>
          <w:rFonts w:hint="eastAsia" w:ascii="方正仿宋_GB2312" w:hAnsi="方正仿宋_GB2312" w:eastAsia="方正仿宋_GB2312" w:cs="方正仿宋_GB2312"/>
          <w:color w:val="000000" w:themeColor="text1"/>
          <w:sz w:val="28"/>
          <w:szCs w:val="28"/>
          <w14:textFill>
            <w14:solidFill>
              <w14:schemeClr w14:val="tx1"/>
            </w14:solidFill>
          </w14:textFill>
        </w:rPr>
      </w:pPr>
    </w:p>
    <w:tbl>
      <w:tblPr>
        <w:tblStyle w:val="7"/>
        <w:tblW w:w="8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75"/>
        <w:gridCol w:w="2175"/>
        <w:gridCol w:w="2175"/>
        <w:gridCol w:w="2205"/>
      </w:tblGrid>
      <w:tr w14:paraId="0335F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FDFF81">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课题加分细则</w:t>
            </w:r>
          </w:p>
        </w:tc>
      </w:tr>
      <w:tr w14:paraId="2718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0C90D">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项目</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915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总分</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45E3">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备注</w:t>
            </w:r>
          </w:p>
        </w:tc>
      </w:tr>
      <w:tr w14:paraId="1DD78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4369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国家级重大科研项目</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36A1">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立项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EEC2">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10</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B10C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分值认定至项目负责人前三位</w:t>
            </w:r>
          </w:p>
        </w:tc>
      </w:tr>
      <w:tr w14:paraId="6F345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8140">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C911">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结项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5230">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30</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389BA">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0209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F8A9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国家级一般科研项目</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75C8">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立项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7043">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6</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0635">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05AF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E3FB4">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00CD">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结项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AF5C">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18</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6A033">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1633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B1D0A">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省部级一般项目（含教育部、文化部项目、广电总局、上海社科项目）</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7E29">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立项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2B8C">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4</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C8082">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600D2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DB6A5">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630F">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结项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6213">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12</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D594B">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727F7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9961E">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省部级一般项目（含教育部、文化部项目、广电总局、上海社科）</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B243">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立项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0456">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20</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D6FDB">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4ED6E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83C3">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C343">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结项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12EC">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28</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D301B">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53FF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2E591">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校级项目结项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7EA5">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2</w:t>
            </w: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E09B1">
            <w:pPr>
              <w:keepNext w:val="0"/>
              <w:keepLines w:val="0"/>
              <w:pageBreakBefore w:val="0"/>
              <w:kinsoku/>
              <w:wordWrap/>
              <w:overflowPunct/>
              <w:topLinePunct w:val="0"/>
              <w:bidi w:val="0"/>
              <w:snapToGrid/>
              <w:spacing w:line="440" w:lineRule="exact"/>
              <w:jc w:val="center"/>
              <w:rPr>
                <w:rFonts w:hint="eastAsia" w:ascii="方正仿宋_GB2312" w:hAnsi="方正仿宋_GB2312" w:eastAsia="方正仿宋_GB2312" w:cs="方正仿宋_GB2312"/>
                <w:i w:val="0"/>
                <w:iCs w:val="0"/>
                <w:color w:val="000000"/>
                <w:sz w:val="28"/>
                <w:szCs w:val="28"/>
                <w:u w:val="none"/>
              </w:rPr>
            </w:pPr>
          </w:p>
        </w:tc>
      </w:tr>
      <w:tr w14:paraId="7AD67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46AE2E">
            <w:pPr>
              <w:keepNext w:val="0"/>
              <w:keepLines w:val="0"/>
              <w:pageBreakBefore w:val="0"/>
              <w:widowControl/>
              <w:suppressLineNumbers w:val="0"/>
              <w:kinsoku/>
              <w:wordWrap/>
              <w:overflowPunct/>
              <w:topLinePunct w:val="0"/>
              <w:bidi w:val="0"/>
              <w:snapToGrid/>
              <w:spacing w:line="440" w:lineRule="exact"/>
              <w:jc w:val="center"/>
              <w:textAlignment w:val="center"/>
              <w:rPr>
                <w:rFonts w:hint="eastAsia" w:ascii="方正仿宋_GB2312" w:hAnsi="方正仿宋_GB2312" w:eastAsia="方正仿宋_GB2312" w:cs="方正仿宋_GB2312"/>
                <w:i w:val="0"/>
                <w:iCs w:val="0"/>
                <w:color w:val="000000"/>
                <w:sz w:val="28"/>
                <w:szCs w:val="28"/>
                <w:u w:val="none"/>
              </w:rPr>
            </w:pPr>
            <w:r>
              <w:rPr>
                <w:rFonts w:hint="eastAsia" w:ascii="方正仿宋_GB2312" w:hAnsi="方正仿宋_GB2312" w:eastAsia="方正仿宋_GB2312" w:cs="方正仿宋_GB2312"/>
                <w:i w:val="0"/>
                <w:iCs w:val="0"/>
                <w:color w:val="000000"/>
                <w:kern w:val="0"/>
                <w:sz w:val="28"/>
                <w:szCs w:val="28"/>
                <w:u w:val="none"/>
                <w:lang w:val="en-US" w:eastAsia="zh-CN" w:bidi="ar"/>
              </w:rPr>
              <w:t>注：个人科研项目立项和结项所获分值由项目负责人向包括自己在内的排名1～3位的团队成员分配。</w:t>
            </w:r>
          </w:p>
        </w:tc>
      </w:tr>
      <w:tr w14:paraId="598D0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8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99EEC6">
            <w:pPr>
              <w:keepNext w:val="0"/>
              <w:keepLines w:val="0"/>
              <w:pageBreakBefore w:val="0"/>
              <w:widowControl/>
              <w:suppressLineNumbers w:val="0"/>
              <w:kinsoku/>
              <w:wordWrap/>
              <w:overflowPunct/>
              <w:topLinePunct w:val="0"/>
              <w:bidi w:val="0"/>
              <w:snapToGrid/>
              <w:spacing w:line="440" w:lineRule="exact"/>
              <w:jc w:val="center"/>
              <w:textAlignment w:val="center"/>
              <w:rPr>
                <w:rFonts w:hint="default" w:ascii="方正仿宋_GB2312" w:hAnsi="方正仿宋_GB2312" w:eastAsia="方正仿宋_GB2312" w:cs="方正仿宋_GB2312"/>
                <w:i w:val="0"/>
                <w:iCs w:val="0"/>
                <w:color w:val="000000"/>
                <w:sz w:val="28"/>
                <w:szCs w:val="28"/>
                <w:u w:val="none"/>
                <w:lang w:val="en-US"/>
              </w:rPr>
            </w:pPr>
            <w:r>
              <w:rPr>
                <w:rFonts w:hint="eastAsia" w:ascii="方正仿宋_GB2312" w:hAnsi="方正仿宋_GB2312" w:eastAsia="方正仿宋_GB2312" w:cs="方正仿宋_GB2312"/>
                <w:i w:val="0"/>
                <w:iCs w:val="0"/>
                <w:color w:val="000000"/>
                <w:kern w:val="0"/>
                <w:sz w:val="28"/>
                <w:szCs w:val="28"/>
                <w:u w:val="none"/>
                <w:lang w:val="en-US" w:eastAsia="zh-CN" w:bidi="ar"/>
              </w:rPr>
              <w:t>注：课题项目的其他成果，包括论文、著作等另作加分，参照论文加分细则加分；新增了我校《高级职称学术与技术成果说明</w:t>
            </w:r>
            <w:r>
              <w:rPr>
                <w:rFonts w:hint="eastAsia" w:ascii="方正仿宋_GB2312" w:hAnsi="方正仿宋_GB2312" w:eastAsia="方正仿宋_GB2312" w:cs="方正仿宋_GB2312"/>
                <w:i w:val="0"/>
                <w:iCs w:val="0"/>
                <w:color w:val="000000"/>
                <w:kern w:val="0"/>
                <w:sz w:val="28"/>
                <w:szCs w:val="28"/>
                <w:u w:val="none"/>
                <w:lang w:val="en-US" w:eastAsia="zh-CN" w:bidi="ar"/>
              </w:rPr>
              <w:t>》作为评定委员会评选参考，详见下方附表1、附表2.</w:t>
            </w:r>
            <w:bookmarkStart w:id="1" w:name="_GoBack"/>
            <w:bookmarkEnd w:id="1"/>
          </w:p>
        </w:tc>
      </w:tr>
    </w:tbl>
    <w:p w14:paraId="668A4CBB">
      <w:pPr>
        <w:widowControl/>
        <w:spacing w:after="150"/>
        <w:jc w:val="left"/>
        <w:rPr>
          <w:rFonts w:ascii="Times" w:hAnsi="Times" w:eastAsia="仿宋" w:cs="Times"/>
          <w:kern w:val="0"/>
          <w:sz w:val="32"/>
          <w:szCs w:val="32"/>
        </w:rPr>
      </w:pPr>
    </w:p>
    <w:p w14:paraId="138B89C2">
      <w:pPr>
        <w:spacing w:line="440" w:lineRule="exact"/>
        <w:jc w:val="left"/>
        <w:outlineLvl w:val="1"/>
        <w:rPr>
          <w:rFonts w:ascii="Times" w:hAnsi="Times" w:eastAsia="仿宋" w:cs="Times"/>
          <w:b/>
          <w:sz w:val="28"/>
          <w:szCs w:val="28"/>
        </w:rPr>
      </w:pPr>
      <w:r>
        <w:rPr>
          <w:rFonts w:ascii="Times" w:hAnsi="Times" w:eastAsia="仿宋" w:cs="Times"/>
          <w:b/>
          <w:sz w:val="28"/>
          <w:szCs w:val="28"/>
        </w:rPr>
        <w:t>附表1：</w:t>
      </w:r>
    </w:p>
    <w:p w14:paraId="2961DCA0">
      <w:pPr>
        <w:jc w:val="center"/>
        <w:rPr>
          <w:rFonts w:ascii="Times" w:hAnsi="Times" w:eastAsia="仿宋" w:cs="Times"/>
        </w:rPr>
      </w:pPr>
      <w:r>
        <w:rPr>
          <w:rFonts w:ascii="Times" w:hAnsi="Times" w:eastAsia="仿宋" w:cs="Times"/>
          <w:b/>
          <w:sz w:val="32"/>
          <w:szCs w:val="32"/>
        </w:rPr>
        <w:t>上海戏剧学院文科权威期刊目录</w:t>
      </w:r>
    </w:p>
    <w:p w14:paraId="4FA794D5">
      <w:pPr>
        <w:rPr>
          <w:rFonts w:ascii="Times" w:hAnsi="Times" w:eastAsia="仿宋" w:cs="Times"/>
          <w:sz w:val="24"/>
        </w:rPr>
      </w:pPr>
    </w:p>
    <w:tbl>
      <w:tblPr>
        <w:tblStyle w:val="7"/>
        <w:tblW w:w="772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659"/>
        <w:gridCol w:w="2116"/>
        <w:gridCol w:w="4948"/>
      </w:tblGrid>
      <w:tr w14:paraId="27F07F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539" w:hRule="atLeast"/>
          <w:jc w:val="center"/>
        </w:trPr>
        <w:tc>
          <w:tcPr>
            <w:tcW w:w="6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FEDCE">
            <w:pPr>
              <w:jc w:val="center"/>
              <w:rPr>
                <w:rFonts w:ascii="仿宋" w:hAnsi="仿宋" w:eastAsia="仿宋" w:cs="Times"/>
                <w:b/>
                <w:sz w:val="28"/>
                <w:szCs w:val="28"/>
              </w:rPr>
            </w:pPr>
            <w:r>
              <w:rPr>
                <w:rFonts w:ascii="仿宋" w:hAnsi="仿宋" w:eastAsia="仿宋" w:cs="Times"/>
                <w:b/>
                <w:sz w:val="28"/>
                <w:szCs w:val="28"/>
              </w:rPr>
              <w:t>序号</w:t>
            </w:r>
          </w:p>
        </w:tc>
        <w:tc>
          <w:tcPr>
            <w:tcW w:w="2116"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E0BC19B">
            <w:pPr>
              <w:jc w:val="center"/>
              <w:rPr>
                <w:rFonts w:ascii="仿宋" w:hAnsi="仿宋" w:eastAsia="仿宋" w:cs="Times"/>
                <w:b/>
                <w:sz w:val="28"/>
                <w:szCs w:val="28"/>
              </w:rPr>
            </w:pPr>
            <w:r>
              <w:rPr>
                <w:rFonts w:ascii="仿宋" w:hAnsi="仿宋" w:eastAsia="仿宋" w:cs="Times"/>
                <w:b/>
                <w:sz w:val="28"/>
                <w:szCs w:val="28"/>
              </w:rPr>
              <w:t>学科类别</w:t>
            </w:r>
          </w:p>
        </w:tc>
        <w:tc>
          <w:tcPr>
            <w:tcW w:w="4948" w:type="dxa"/>
            <w:tcBorders>
              <w:top w:val="single" w:color="000000" w:sz="4" w:space="0"/>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733BA0A">
            <w:pPr>
              <w:jc w:val="center"/>
              <w:rPr>
                <w:rFonts w:ascii="仿宋" w:hAnsi="仿宋" w:eastAsia="仿宋" w:cs="Times"/>
                <w:b/>
                <w:sz w:val="28"/>
                <w:szCs w:val="28"/>
              </w:rPr>
            </w:pPr>
            <w:r>
              <w:rPr>
                <w:rFonts w:ascii="仿宋" w:hAnsi="仿宋" w:eastAsia="仿宋" w:cs="Times"/>
                <w:b/>
                <w:sz w:val="28"/>
                <w:szCs w:val="28"/>
              </w:rPr>
              <w:t>期刊名称</w:t>
            </w:r>
          </w:p>
        </w:tc>
      </w:tr>
      <w:tr w14:paraId="64B577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6ED23E3F">
            <w:pPr>
              <w:jc w:val="center"/>
              <w:rPr>
                <w:rFonts w:ascii="仿宋" w:hAnsi="仿宋" w:eastAsia="仿宋" w:cs="Times"/>
                <w:sz w:val="24"/>
              </w:rPr>
            </w:pPr>
            <w:r>
              <w:rPr>
                <w:rFonts w:ascii="仿宋" w:hAnsi="仿宋" w:eastAsia="仿宋" w:cs="Times"/>
                <w:sz w:val="24"/>
              </w:rPr>
              <w:t>1</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87263A2">
            <w:pPr>
              <w:jc w:val="center"/>
              <w:rPr>
                <w:rFonts w:ascii="仿宋" w:hAnsi="仿宋" w:eastAsia="仿宋" w:cs="Times"/>
                <w:b/>
                <w:bCs/>
                <w:sz w:val="24"/>
              </w:rPr>
            </w:pPr>
            <w:r>
              <w:rPr>
                <w:rFonts w:ascii="仿宋" w:hAnsi="仿宋" w:eastAsia="仿宋" w:cs="Times"/>
                <w:b/>
                <w:bCs/>
                <w:sz w:val="24"/>
              </w:rPr>
              <w:t>文学·中国文学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01455291">
            <w:pPr>
              <w:jc w:val="center"/>
              <w:rPr>
                <w:rFonts w:ascii="仿宋" w:hAnsi="仿宋" w:eastAsia="仿宋" w:cs="Times"/>
                <w:sz w:val="24"/>
              </w:rPr>
            </w:pPr>
            <w:r>
              <w:rPr>
                <w:rFonts w:ascii="仿宋" w:hAnsi="仿宋" w:eastAsia="仿宋" w:cs="Times"/>
                <w:sz w:val="24"/>
              </w:rPr>
              <w:t>《文学评论》、《文学遗产》</w:t>
            </w:r>
          </w:p>
        </w:tc>
      </w:tr>
      <w:tr w14:paraId="07CE9C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167FEF36">
            <w:pPr>
              <w:jc w:val="center"/>
              <w:rPr>
                <w:rFonts w:ascii="仿宋" w:hAnsi="仿宋" w:eastAsia="仿宋" w:cs="Times"/>
                <w:sz w:val="24"/>
              </w:rPr>
            </w:pPr>
            <w:r>
              <w:rPr>
                <w:rFonts w:ascii="仿宋" w:hAnsi="仿宋" w:eastAsia="仿宋" w:cs="Times"/>
                <w:sz w:val="24"/>
              </w:rPr>
              <w:t>2</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9874A58">
            <w:pPr>
              <w:jc w:val="center"/>
              <w:rPr>
                <w:rFonts w:ascii="仿宋" w:hAnsi="仿宋" w:eastAsia="仿宋" w:cs="Times"/>
                <w:b/>
                <w:bCs/>
                <w:sz w:val="24"/>
              </w:rPr>
            </w:pPr>
            <w:r>
              <w:rPr>
                <w:rFonts w:ascii="仿宋" w:hAnsi="仿宋" w:eastAsia="仿宋" w:cs="Times"/>
                <w:b/>
                <w:bCs/>
                <w:sz w:val="24"/>
              </w:rPr>
              <w:t>文学·外国文学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47A7642">
            <w:pPr>
              <w:jc w:val="center"/>
              <w:rPr>
                <w:rFonts w:ascii="仿宋" w:hAnsi="仿宋" w:eastAsia="仿宋" w:cs="Times"/>
                <w:sz w:val="24"/>
              </w:rPr>
            </w:pPr>
            <w:r>
              <w:rPr>
                <w:rFonts w:ascii="仿宋" w:hAnsi="仿宋" w:eastAsia="仿宋" w:cs="Times"/>
                <w:sz w:val="24"/>
              </w:rPr>
              <w:t>《外语教学与研究》、《外国文学评论》</w:t>
            </w:r>
          </w:p>
        </w:tc>
      </w:tr>
      <w:tr w14:paraId="7D4F48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64DFCE92">
            <w:pPr>
              <w:jc w:val="center"/>
              <w:rPr>
                <w:rFonts w:ascii="仿宋" w:hAnsi="仿宋" w:eastAsia="仿宋" w:cs="Times"/>
                <w:sz w:val="24"/>
              </w:rPr>
            </w:pPr>
            <w:r>
              <w:rPr>
                <w:rFonts w:ascii="仿宋" w:hAnsi="仿宋" w:eastAsia="仿宋" w:cs="Times"/>
                <w:sz w:val="24"/>
              </w:rPr>
              <w:t>3</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3D57B5EA">
            <w:pPr>
              <w:jc w:val="center"/>
              <w:rPr>
                <w:rFonts w:ascii="仿宋" w:hAnsi="仿宋" w:eastAsia="仿宋" w:cs="Times"/>
                <w:b/>
                <w:bCs/>
                <w:sz w:val="24"/>
              </w:rPr>
            </w:pPr>
            <w:r>
              <w:rPr>
                <w:rFonts w:ascii="仿宋" w:hAnsi="仿宋" w:eastAsia="仿宋" w:cs="Times"/>
                <w:b/>
                <w:bCs/>
                <w:sz w:val="24"/>
              </w:rPr>
              <w:t>语言学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BBDD3BD">
            <w:pPr>
              <w:jc w:val="center"/>
              <w:rPr>
                <w:rFonts w:ascii="仿宋" w:hAnsi="仿宋" w:eastAsia="仿宋" w:cs="Times"/>
                <w:sz w:val="24"/>
              </w:rPr>
            </w:pPr>
            <w:r>
              <w:rPr>
                <w:rFonts w:ascii="仿宋" w:hAnsi="仿宋" w:eastAsia="仿宋" w:cs="Times"/>
                <w:sz w:val="24"/>
              </w:rPr>
              <w:t>《中国语文》</w:t>
            </w:r>
          </w:p>
        </w:tc>
      </w:tr>
      <w:tr w14:paraId="42E5FC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5DC3B678">
            <w:pPr>
              <w:jc w:val="center"/>
              <w:rPr>
                <w:rFonts w:ascii="仿宋" w:hAnsi="仿宋" w:eastAsia="仿宋" w:cs="Times"/>
                <w:sz w:val="24"/>
              </w:rPr>
            </w:pPr>
            <w:r>
              <w:rPr>
                <w:rFonts w:ascii="仿宋" w:hAnsi="仿宋" w:eastAsia="仿宋" w:cs="Times"/>
                <w:sz w:val="24"/>
              </w:rPr>
              <w:t>4</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6EBA561">
            <w:pPr>
              <w:jc w:val="center"/>
              <w:rPr>
                <w:rFonts w:ascii="仿宋" w:hAnsi="仿宋" w:eastAsia="仿宋" w:cs="Times"/>
                <w:b/>
                <w:bCs/>
                <w:sz w:val="24"/>
              </w:rPr>
            </w:pPr>
            <w:r>
              <w:rPr>
                <w:rFonts w:ascii="仿宋" w:hAnsi="仿宋" w:eastAsia="仿宋" w:cs="Times"/>
                <w:b/>
                <w:bCs/>
                <w:sz w:val="24"/>
              </w:rPr>
              <w:t>艺术学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BDE046E">
            <w:pPr>
              <w:jc w:val="center"/>
              <w:rPr>
                <w:rFonts w:ascii="仿宋" w:hAnsi="仿宋" w:eastAsia="仿宋" w:cs="Times"/>
                <w:sz w:val="24"/>
              </w:rPr>
            </w:pPr>
            <w:r>
              <w:rPr>
                <w:rFonts w:ascii="仿宋" w:hAnsi="仿宋" w:eastAsia="仿宋" w:cs="Times"/>
                <w:sz w:val="24"/>
              </w:rPr>
              <w:t>《文艺研究》、《文艺理论研究》</w:t>
            </w:r>
          </w:p>
        </w:tc>
      </w:tr>
      <w:tr w14:paraId="6AB6C3B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25F3540E">
            <w:pPr>
              <w:jc w:val="center"/>
              <w:rPr>
                <w:rFonts w:ascii="仿宋" w:hAnsi="仿宋" w:eastAsia="仿宋" w:cs="Times"/>
                <w:sz w:val="24"/>
              </w:rPr>
            </w:pPr>
            <w:r>
              <w:rPr>
                <w:rFonts w:ascii="仿宋" w:hAnsi="仿宋" w:eastAsia="仿宋" w:cs="Times"/>
                <w:sz w:val="24"/>
              </w:rPr>
              <w:t>5</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7C66B053">
            <w:pPr>
              <w:jc w:val="center"/>
              <w:rPr>
                <w:rFonts w:ascii="仿宋" w:hAnsi="仿宋" w:eastAsia="仿宋" w:cs="Times"/>
                <w:b/>
                <w:bCs/>
                <w:sz w:val="24"/>
              </w:rPr>
            </w:pPr>
            <w:r>
              <w:rPr>
                <w:rFonts w:ascii="仿宋" w:hAnsi="仿宋" w:eastAsia="仿宋" w:cs="Times"/>
                <w:b/>
                <w:bCs/>
                <w:sz w:val="24"/>
              </w:rPr>
              <w:t>新闻学与传播学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722910B2">
            <w:pPr>
              <w:jc w:val="center"/>
              <w:rPr>
                <w:rFonts w:ascii="仿宋" w:hAnsi="仿宋" w:eastAsia="仿宋" w:cs="Times"/>
                <w:sz w:val="24"/>
              </w:rPr>
            </w:pPr>
            <w:r>
              <w:rPr>
                <w:rFonts w:ascii="仿宋" w:hAnsi="仿宋" w:eastAsia="仿宋" w:cs="Times"/>
                <w:sz w:val="24"/>
              </w:rPr>
              <w:t>《新闻与传播研究》</w:t>
            </w:r>
          </w:p>
        </w:tc>
      </w:tr>
      <w:tr w14:paraId="1A72DA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054F0FBA">
            <w:pPr>
              <w:jc w:val="center"/>
              <w:rPr>
                <w:rFonts w:ascii="仿宋" w:hAnsi="仿宋" w:eastAsia="仿宋" w:cs="Times"/>
                <w:sz w:val="24"/>
              </w:rPr>
            </w:pPr>
            <w:r>
              <w:rPr>
                <w:rFonts w:ascii="仿宋" w:hAnsi="仿宋" w:eastAsia="仿宋" w:cs="Times"/>
                <w:sz w:val="24"/>
              </w:rPr>
              <w:t>6</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0B2F80FD">
            <w:pPr>
              <w:jc w:val="center"/>
              <w:rPr>
                <w:rFonts w:ascii="仿宋" w:hAnsi="仿宋" w:eastAsia="仿宋" w:cs="Times"/>
                <w:b/>
                <w:bCs/>
                <w:sz w:val="24"/>
              </w:rPr>
            </w:pPr>
            <w:r>
              <w:rPr>
                <w:rFonts w:ascii="仿宋" w:hAnsi="仿宋" w:eastAsia="仿宋" w:cs="Times"/>
                <w:b/>
                <w:bCs/>
                <w:sz w:val="24"/>
              </w:rPr>
              <w:t>哲学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CEC4BEC">
            <w:pPr>
              <w:jc w:val="center"/>
              <w:rPr>
                <w:rFonts w:ascii="仿宋" w:hAnsi="仿宋" w:eastAsia="仿宋" w:cs="Times"/>
                <w:sz w:val="24"/>
              </w:rPr>
            </w:pPr>
            <w:r>
              <w:rPr>
                <w:rFonts w:ascii="仿宋" w:hAnsi="仿宋" w:eastAsia="仿宋" w:cs="Times"/>
                <w:sz w:val="24"/>
              </w:rPr>
              <w:t>《哲学研究》</w:t>
            </w:r>
          </w:p>
        </w:tc>
      </w:tr>
      <w:tr w14:paraId="307F9C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1EE9248F">
            <w:pPr>
              <w:jc w:val="center"/>
              <w:rPr>
                <w:rFonts w:ascii="仿宋" w:hAnsi="仿宋" w:eastAsia="仿宋" w:cs="Times"/>
                <w:sz w:val="24"/>
              </w:rPr>
            </w:pPr>
            <w:r>
              <w:rPr>
                <w:rFonts w:ascii="仿宋" w:hAnsi="仿宋" w:eastAsia="仿宋" w:cs="Times"/>
                <w:sz w:val="24"/>
              </w:rPr>
              <w:t>7</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092DAEC">
            <w:pPr>
              <w:jc w:val="center"/>
              <w:rPr>
                <w:rFonts w:ascii="仿宋" w:hAnsi="仿宋" w:eastAsia="仿宋" w:cs="Times"/>
                <w:b/>
                <w:bCs/>
                <w:sz w:val="24"/>
              </w:rPr>
            </w:pPr>
            <w:r>
              <w:rPr>
                <w:rFonts w:ascii="仿宋" w:hAnsi="仿宋" w:eastAsia="仿宋" w:cs="Times"/>
                <w:b/>
                <w:bCs/>
                <w:sz w:val="24"/>
              </w:rPr>
              <w:t>历史学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A67F480">
            <w:pPr>
              <w:jc w:val="center"/>
              <w:rPr>
                <w:rFonts w:ascii="仿宋" w:hAnsi="仿宋" w:eastAsia="仿宋" w:cs="Times"/>
                <w:sz w:val="24"/>
              </w:rPr>
            </w:pPr>
            <w:r>
              <w:rPr>
                <w:rFonts w:ascii="仿宋" w:hAnsi="仿宋" w:eastAsia="仿宋" w:cs="Times"/>
                <w:sz w:val="24"/>
              </w:rPr>
              <w:t>《历史研究》</w:t>
            </w:r>
          </w:p>
        </w:tc>
      </w:tr>
      <w:tr w14:paraId="035935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6791D618">
            <w:pPr>
              <w:jc w:val="center"/>
              <w:rPr>
                <w:rFonts w:ascii="仿宋" w:hAnsi="仿宋" w:eastAsia="仿宋" w:cs="Times"/>
                <w:sz w:val="24"/>
              </w:rPr>
            </w:pPr>
            <w:r>
              <w:rPr>
                <w:rFonts w:ascii="仿宋" w:hAnsi="仿宋" w:eastAsia="仿宋" w:cs="Times"/>
                <w:sz w:val="24"/>
              </w:rPr>
              <w:t>8</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7D910F3F">
            <w:pPr>
              <w:jc w:val="center"/>
              <w:rPr>
                <w:rFonts w:ascii="仿宋" w:hAnsi="仿宋" w:eastAsia="仿宋" w:cs="Times"/>
                <w:b/>
                <w:bCs/>
                <w:sz w:val="24"/>
              </w:rPr>
            </w:pPr>
            <w:r>
              <w:rPr>
                <w:rFonts w:ascii="仿宋" w:hAnsi="仿宋" w:eastAsia="仿宋" w:cs="Times"/>
                <w:b/>
                <w:bCs/>
                <w:sz w:val="24"/>
              </w:rPr>
              <w:t>宗教学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20476438">
            <w:pPr>
              <w:jc w:val="center"/>
              <w:rPr>
                <w:rFonts w:ascii="仿宋" w:hAnsi="仿宋" w:eastAsia="仿宋" w:cs="Times"/>
                <w:sz w:val="24"/>
              </w:rPr>
            </w:pPr>
            <w:r>
              <w:rPr>
                <w:rFonts w:ascii="仿宋" w:hAnsi="仿宋" w:eastAsia="仿宋" w:cs="Times"/>
                <w:sz w:val="24"/>
              </w:rPr>
              <w:t>《世界宗教研究》</w:t>
            </w:r>
          </w:p>
        </w:tc>
      </w:tr>
      <w:tr w14:paraId="56AD20E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3CF03129">
            <w:pPr>
              <w:jc w:val="center"/>
              <w:rPr>
                <w:rFonts w:ascii="仿宋" w:hAnsi="仿宋" w:eastAsia="仿宋" w:cs="Times"/>
                <w:sz w:val="24"/>
              </w:rPr>
            </w:pPr>
            <w:r>
              <w:rPr>
                <w:rFonts w:ascii="仿宋" w:hAnsi="仿宋" w:eastAsia="仿宋" w:cs="Times"/>
                <w:sz w:val="24"/>
              </w:rPr>
              <w:t>9</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05F63B85">
            <w:pPr>
              <w:jc w:val="center"/>
              <w:rPr>
                <w:rFonts w:ascii="仿宋" w:hAnsi="仿宋" w:eastAsia="仿宋" w:cs="Times"/>
                <w:b/>
                <w:bCs/>
                <w:sz w:val="24"/>
              </w:rPr>
            </w:pPr>
            <w:r>
              <w:rPr>
                <w:rFonts w:ascii="仿宋" w:hAnsi="仿宋" w:eastAsia="仿宋" w:cs="Times"/>
                <w:b/>
                <w:bCs/>
                <w:sz w:val="24"/>
              </w:rPr>
              <w:t>考古学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0FE0A1D1">
            <w:pPr>
              <w:jc w:val="center"/>
              <w:rPr>
                <w:rFonts w:ascii="仿宋" w:hAnsi="仿宋" w:eastAsia="仿宋" w:cs="Times"/>
                <w:sz w:val="24"/>
              </w:rPr>
            </w:pPr>
            <w:r>
              <w:rPr>
                <w:rFonts w:ascii="仿宋" w:hAnsi="仿宋" w:eastAsia="仿宋" w:cs="Times"/>
                <w:sz w:val="24"/>
              </w:rPr>
              <w:t>《文物》、《考古学报》</w:t>
            </w:r>
          </w:p>
        </w:tc>
      </w:tr>
      <w:tr w14:paraId="51AEA0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43321FCF">
            <w:pPr>
              <w:jc w:val="center"/>
              <w:rPr>
                <w:rFonts w:ascii="仿宋" w:hAnsi="仿宋" w:eastAsia="仿宋" w:cs="Times"/>
                <w:sz w:val="24"/>
              </w:rPr>
            </w:pPr>
            <w:r>
              <w:rPr>
                <w:rFonts w:ascii="仿宋" w:hAnsi="仿宋" w:eastAsia="仿宋" w:cs="Times"/>
                <w:sz w:val="24"/>
              </w:rPr>
              <w:t>10</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15D6962">
            <w:pPr>
              <w:jc w:val="center"/>
              <w:rPr>
                <w:rFonts w:ascii="仿宋" w:hAnsi="仿宋" w:eastAsia="仿宋" w:cs="Times"/>
                <w:b/>
                <w:bCs/>
                <w:sz w:val="24"/>
              </w:rPr>
            </w:pPr>
            <w:r>
              <w:rPr>
                <w:rFonts w:ascii="仿宋" w:hAnsi="仿宋" w:eastAsia="仿宋" w:cs="Times"/>
                <w:b/>
                <w:bCs/>
                <w:sz w:val="24"/>
              </w:rPr>
              <w:t>社会学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3677C48">
            <w:pPr>
              <w:jc w:val="center"/>
              <w:rPr>
                <w:rFonts w:ascii="仿宋" w:hAnsi="仿宋" w:eastAsia="仿宋" w:cs="Times"/>
                <w:sz w:val="24"/>
              </w:rPr>
            </w:pPr>
            <w:r>
              <w:rPr>
                <w:rFonts w:ascii="仿宋" w:hAnsi="仿宋" w:eastAsia="仿宋" w:cs="Times"/>
                <w:sz w:val="24"/>
              </w:rPr>
              <w:t>《社会学研究》</w:t>
            </w:r>
          </w:p>
        </w:tc>
      </w:tr>
      <w:tr w14:paraId="036223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7135FC0B">
            <w:pPr>
              <w:jc w:val="center"/>
              <w:rPr>
                <w:rFonts w:ascii="仿宋" w:hAnsi="仿宋" w:eastAsia="仿宋" w:cs="Times"/>
                <w:sz w:val="24"/>
              </w:rPr>
            </w:pPr>
            <w:r>
              <w:rPr>
                <w:rFonts w:ascii="仿宋" w:hAnsi="仿宋" w:eastAsia="仿宋" w:cs="Times"/>
                <w:sz w:val="24"/>
              </w:rPr>
              <w:t>11</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2F5C0DAD">
            <w:pPr>
              <w:jc w:val="center"/>
              <w:rPr>
                <w:rFonts w:ascii="仿宋" w:hAnsi="仿宋" w:eastAsia="仿宋" w:cs="Times"/>
                <w:b/>
                <w:bCs/>
                <w:sz w:val="24"/>
              </w:rPr>
            </w:pPr>
            <w:r>
              <w:rPr>
                <w:rFonts w:ascii="仿宋" w:hAnsi="仿宋" w:eastAsia="仿宋" w:cs="Times"/>
                <w:b/>
                <w:bCs/>
                <w:sz w:val="24"/>
              </w:rPr>
              <w:t>民族学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21AAE397">
            <w:pPr>
              <w:jc w:val="center"/>
              <w:rPr>
                <w:rFonts w:ascii="仿宋" w:hAnsi="仿宋" w:eastAsia="仿宋" w:cs="Times"/>
                <w:sz w:val="24"/>
              </w:rPr>
            </w:pPr>
            <w:r>
              <w:rPr>
                <w:rFonts w:ascii="仿宋" w:hAnsi="仿宋" w:eastAsia="仿宋" w:cs="Times"/>
                <w:sz w:val="24"/>
              </w:rPr>
              <w:t>《民族研究》</w:t>
            </w:r>
          </w:p>
        </w:tc>
      </w:tr>
      <w:tr w14:paraId="5E5154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0F8A6D42">
            <w:pPr>
              <w:jc w:val="center"/>
              <w:rPr>
                <w:rFonts w:ascii="仿宋" w:hAnsi="仿宋" w:eastAsia="仿宋" w:cs="Times"/>
                <w:sz w:val="24"/>
              </w:rPr>
            </w:pPr>
            <w:r>
              <w:rPr>
                <w:rFonts w:ascii="仿宋" w:hAnsi="仿宋" w:eastAsia="仿宋" w:cs="Times"/>
                <w:sz w:val="24"/>
              </w:rPr>
              <w:t>12</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46B01476">
            <w:pPr>
              <w:jc w:val="center"/>
              <w:rPr>
                <w:rFonts w:ascii="仿宋" w:hAnsi="仿宋" w:eastAsia="仿宋" w:cs="Times"/>
                <w:b/>
                <w:bCs/>
                <w:sz w:val="24"/>
              </w:rPr>
            </w:pPr>
            <w:r>
              <w:rPr>
                <w:rFonts w:ascii="仿宋" w:hAnsi="仿宋" w:eastAsia="仿宋" w:cs="Times"/>
                <w:b/>
                <w:bCs/>
                <w:sz w:val="24"/>
              </w:rPr>
              <w:t>马克思主义理论</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79E1E35B">
            <w:pPr>
              <w:jc w:val="center"/>
              <w:rPr>
                <w:rFonts w:ascii="仿宋" w:hAnsi="仿宋" w:eastAsia="仿宋" w:cs="Times"/>
                <w:sz w:val="24"/>
              </w:rPr>
            </w:pPr>
            <w:r>
              <w:rPr>
                <w:rFonts w:ascii="仿宋" w:hAnsi="仿宋" w:eastAsia="仿宋" w:cs="Times"/>
                <w:sz w:val="24"/>
              </w:rPr>
              <w:t>《求是》、《马克思主义研究》、</w:t>
            </w:r>
          </w:p>
          <w:p w14:paraId="44545D24">
            <w:pPr>
              <w:jc w:val="center"/>
              <w:rPr>
                <w:rFonts w:ascii="仿宋" w:hAnsi="仿宋" w:eastAsia="仿宋" w:cs="Times"/>
                <w:sz w:val="24"/>
              </w:rPr>
            </w:pPr>
            <w:r>
              <w:rPr>
                <w:rFonts w:ascii="仿宋" w:hAnsi="仿宋" w:eastAsia="仿宋" w:cs="Times"/>
                <w:sz w:val="24"/>
              </w:rPr>
              <w:t>《当代世界与社会主义》</w:t>
            </w:r>
          </w:p>
        </w:tc>
      </w:tr>
      <w:tr w14:paraId="70CF8B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2BDAD552">
            <w:pPr>
              <w:jc w:val="center"/>
              <w:rPr>
                <w:rFonts w:ascii="仿宋" w:hAnsi="仿宋" w:eastAsia="仿宋" w:cs="Times"/>
                <w:sz w:val="24"/>
              </w:rPr>
            </w:pPr>
            <w:r>
              <w:rPr>
                <w:rFonts w:ascii="仿宋" w:hAnsi="仿宋" w:eastAsia="仿宋" w:cs="Times"/>
                <w:sz w:val="24"/>
              </w:rPr>
              <w:t>13</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29B66802">
            <w:pPr>
              <w:jc w:val="center"/>
              <w:rPr>
                <w:rFonts w:ascii="仿宋" w:hAnsi="仿宋" w:eastAsia="仿宋" w:cs="Times"/>
                <w:b/>
                <w:bCs/>
                <w:sz w:val="24"/>
              </w:rPr>
            </w:pPr>
            <w:r>
              <w:rPr>
                <w:rFonts w:ascii="仿宋" w:hAnsi="仿宋" w:eastAsia="仿宋" w:cs="Times"/>
                <w:b/>
                <w:bCs/>
                <w:sz w:val="24"/>
              </w:rPr>
              <w:t>党史·党建</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5BE1A58">
            <w:pPr>
              <w:jc w:val="center"/>
              <w:rPr>
                <w:rFonts w:ascii="仿宋" w:hAnsi="仿宋" w:eastAsia="仿宋" w:cs="Times"/>
                <w:sz w:val="24"/>
              </w:rPr>
            </w:pPr>
            <w:r>
              <w:rPr>
                <w:rFonts w:ascii="仿宋" w:hAnsi="仿宋" w:eastAsia="仿宋" w:cs="Times"/>
                <w:sz w:val="24"/>
              </w:rPr>
              <w:t>《中共党史研究》</w:t>
            </w:r>
          </w:p>
        </w:tc>
      </w:tr>
      <w:tr w14:paraId="521B4A1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210F6679">
            <w:pPr>
              <w:jc w:val="center"/>
              <w:rPr>
                <w:rFonts w:ascii="仿宋" w:hAnsi="仿宋" w:eastAsia="仿宋" w:cs="Times"/>
                <w:sz w:val="24"/>
              </w:rPr>
            </w:pPr>
            <w:r>
              <w:rPr>
                <w:rFonts w:ascii="仿宋" w:hAnsi="仿宋" w:eastAsia="仿宋" w:cs="Times"/>
                <w:sz w:val="24"/>
              </w:rPr>
              <w:t>14</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57D912B">
            <w:pPr>
              <w:jc w:val="center"/>
              <w:rPr>
                <w:rFonts w:ascii="仿宋" w:hAnsi="仿宋" w:eastAsia="仿宋" w:cs="Times"/>
                <w:b/>
                <w:bCs/>
                <w:sz w:val="24"/>
              </w:rPr>
            </w:pPr>
            <w:r>
              <w:rPr>
                <w:rFonts w:ascii="仿宋" w:hAnsi="仿宋" w:eastAsia="仿宋" w:cs="Times"/>
                <w:b/>
                <w:bCs/>
                <w:sz w:val="24"/>
              </w:rPr>
              <w:t>国际问题研究</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F935929">
            <w:pPr>
              <w:jc w:val="center"/>
              <w:rPr>
                <w:rFonts w:ascii="仿宋" w:hAnsi="仿宋" w:eastAsia="仿宋" w:cs="Times"/>
                <w:sz w:val="24"/>
              </w:rPr>
            </w:pPr>
            <w:r>
              <w:rPr>
                <w:rFonts w:ascii="仿宋" w:hAnsi="仿宋" w:eastAsia="仿宋" w:cs="Times"/>
                <w:sz w:val="24"/>
              </w:rPr>
              <w:t>《国际问题研究》</w:t>
            </w:r>
          </w:p>
        </w:tc>
      </w:tr>
      <w:tr w14:paraId="576D30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4BB21505">
            <w:pPr>
              <w:jc w:val="center"/>
              <w:rPr>
                <w:rFonts w:ascii="仿宋" w:hAnsi="仿宋" w:eastAsia="仿宋" w:cs="Times"/>
                <w:sz w:val="24"/>
              </w:rPr>
            </w:pPr>
            <w:r>
              <w:rPr>
                <w:rFonts w:ascii="仿宋" w:hAnsi="仿宋" w:eastAsia="仿宋" w:cs="Times"/>
                <w:sz w:val="24"/>
              </w:rPr>
              <w:t>15</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A08B9DB">
            <w:pPr>
              <w:jc w:val="center"/>
              <w:rPr>
                <w:rFonts w:ascii="仿宋" w:hAnsi="仿宋" w:eastAsia="仿宋" w:cs="Times"/>
                <w:b/>
                <w:bCs/>
                <w:sz w:val="24"/>
              </w:rPr>
            </w:pPr>
            <w:r>
              <w:rPr>
                <w:rFonts w:ascii="仿宋" w:hAnsi="仿宋" w:eastAsia="仿宋" w:cs="Times"/>
                <w:b/>
                <w:bCs/>
                <w:sz w:val="24"/>
              </w:rPr>
              <w:t>政治学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7BFCBEE9">
            <w:pPr>
              <w:jc w:val="center"/>
              <w:rPr>
                <w:rFonts w:ascii="仿宋" w:hAnsi="仿宋" w:eastAsia="仿宋" w:cs="Times"/>
                <w:sz w:val="24"/>
              </w:rPr>
            </w:pPr>
            <w:r>
              <w:rPr>
                <w:rFonts w:ascii="仿宋" w:hAnsi="仿宋" w:eastAsia="仿宋" w:cs="Times"/>
                <w:sz w:val="24"/>
              </w:rPr>
              <w:t>《政治学研究》</w:t>
            </w:r>
          </w:p>
        </w:tc>
      </w:tr>
      <w:tr w14:paraId="1657CA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5E2C1E1A">
            <w:pPr>
              <w:jc w:val="center"/>
              <w:rPr>
                <w:rFonts w:ascii="仿宋" w:hAnsi="仿宋" w:eastAsia="仿宋" w:cs="Times"/>
                <w:sz w:val="24"/>
              </w:rPr>
            </w:pPr>
            <w:r>
              <w:rPr>
                <w:rFonts w:ascii="仿宋" w:hAnsi="仿宋" w:eastAsia="仿宋" w:cs="Times"/>
                <w:sz w:val="24"/>
              </w:rPr>
              <w:t>16</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961260F">
            <w:pPr>
              <w:jc w:val="center"/>
              <w:rPr>
                <w:rFonts w:ascii="仿宋" w:hAnsi="仿宋" w:eastAsia="仿宋" w:cs="Times"/>
                <w:b/>
                <w:bCs/>
                <w:sz w:val="24"/>
              </w:rPr>
            </w:pPr>
            <w:r>
              <w:rPr>
                <w:rFonts w:ascii="仿宋" w:hAnsi="仿宋" w:eastAsia="仿宋" w:cs="Times"/>
                <w:b/>
                <w:bCs/>
                <w:sz w:val="24"/>
              </w:rPr>
              <w:t>法学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7FB42AA">
            <w:pPr>
              <w:jc w:val="center"/>
              <w:rPr>
                <w:rFonts w:ascii="仿宋" w:hAnsi="仿宋" w:eastAsia="仿宋" w:cs="Times"/>
                <w:sz w:val="24"/>
              </w:rPr>
            </w:pPr>
            <w:r>
              <w:rPr>
                <w:rFonts w:ascii="仿宋" w:hAnsi="仿宋" w:eastAsia="仿宋" w:cs="Times"/>
                <w:sz w:val="24"/>
              </w:rPr>
              <w:t>《法学研究》、《中国法学》</w:t>
            </w:r>
          </w:p>
        </w:tc>
      </w:tr>
      <w:tr w14:paraId="2EDBC7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19FDFED4">
            <w:pPr>
              <w:jc w:val="center"/>
              <w:rPr>
                <w:rFonts w:ascii="仿宋" w:hAnsi="仿宋" w:eastAsia="仿宋" w:cs="Times"/>
                <w:sz w:val="24"/>
              </w:rPr>
            </w:pPr>
            <w:r>
              <w:rPr>
                <w:rFonts w:ascii="仿宋" w:hAnsi="仿宋" w:eastAsia="仿宋" w:cs="Times"/>
                <w:sz w:val="24"/>
              </w:rPr>
              <w:t>17</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269E3343">
            <w:pPr>
              <w:jc w:val="center"/>
              <w:rPr>
                <w:rFonts w:ascii="仿宋" w:hAnsi="仿宋" w:eastAsia="仿宋" w:cs="Times"/>
                <w:b/>
                <w:bCs/>
                <w:sz w:val="24"/>
              </w:rPr>
            </w:pPr>
            <w:r>
              <w:rPr>
                <w:rFonts w:ascii="仿宋" w:hAnsi="仿宋" w:eastAsia="仿宋" w:cs="Times"/>
                <w:b/>
                <w:bCs/>
                <w:sz w:val="24"/>
              </w:rPr>
              <w:t>经济学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B6E0DA8">
            <w:pPr>
              <w:jc w:val="center"/>
              <w:rPr>
                <w:rFonts w:ascii="仿宋" w:hAnsi="仿宋" w:eastAsia="仿宋" w:cs="Times"/>
                <w:sz w:val="24"/>
              </w:rPr>
            </w:pPr>
            <w:r>
              <w:rPr>
                <w:rFonts w:ascii="仿宋" w:hAnsi="仿宋" w:eastAsia="仿宋" w:cs="Times"/>
                <w:sz w:val="24"/>
              </w:rPr>
              <w:t>《经济研究》、《金融研究》</w:t>
            </w:r>
          </w:p>
        </w:tc>
      </w:tr>
      <w:tr w14:paraId="4C410A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05B1E7C6">
            <w:pPr>
              <w:jc w:val="center"/>
              <w:rPr>
                <w:rFonts w:ascii="仿宋" w:hAnsi="仿宋" w:eastAsia="仿宋" w:cs="Times"/>
                <w:sz w:val="24"/>
              </w:rPr>
            </w:pPr>
            <w:r>
              <w:rPr>
                <w:rFonts w:ascii="仿宋" w:hAnsi="仿宋" w:eastAsia="仿宋" w:cs="Times"/>
                <w:sz w:val="24"/>
              </w:rPr>
              <w:t>18</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3CD7607">
            <w:pPr>
              <w:jc w:val="center"/>
              <w:rPr>
                <w:rFonts w:ascii="仿宋" w:hAnsi="仿宋" w:eastAsia="仿宋" w:cs="Times"/>
                <w:b/>
                <w:bCs/>
                <w:sz w:val="24"/>
              </w:rPr>
            </w:pPr>
            <w:r>
              <w:rPr>
                <w:rFonts w:ascii="仿宋" w:hAnsi="仿宋" w:eastAsia="仿宋" w:cs="Times"/>
                <w:b/>
                <w:bCs/>
                <w:sz w:val="24"/>
              </w:rPr>
              <w:t>管理学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0346572">
            <w:pPr>
              <w:jc w:val="center"/>
              <w:rPr>
                <w:rFonts w:ascii="仿宋" w:hAnsi="仿宋" w:eastAsia="仿宋" w:cs="Times"/>
                <w:sz w:val="24"/>
              </w:rPr>
            </w:pPr>
            <w:r>
              <w:rPr>
                <w:rFonts w:ascii="仿宋" w:hAnsi="仿宋" w:eastAsia="仿宋" w:cs="Times"/>
                <w:sz w:val="24"/>
              </w:rPr>
              <w:t>《管理世界》</w:t>
            </w:r>
          </w:p>
        </w:tc>
      </w:tr>
      <w:tr w14:paraId="6477A4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1836563C">
            <w:pPr>
              <w:jc w:val="center"/>
              <w:rPr>
                <w:rFonts w:ascii="仿宋" w:hAnsi="仿宋" w:eastAsia="仿宋" w:cs="Times"/>
                <w:sz w:val="24"/>
              </w:rPr>
            </w:pPr>
            <w:r>
              <w:rPr>
                <w:rFonts w:ascii="仿宋" w:hAnsi="仿宋" w:eastAsia="仿宋" w:cs="Times"/>
                <w:sz w:val="24"/>
              </w:rPr>
              <w:t>19</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658296FF">
            <w:pPr>
              <w:jc w:val="center"/>
              <w:rPr>
                <w:rFonts w:ascii="仿宋" w:hAnsi="仿宋" w:eastAsia="仿宋" w:cs="Times"/>
                <w:b/>
                <w:bCs/>
                <w:sz w:val="24"/>
              </w:rPr>
            </w:pPr>
            <w:r>
              <w:rPr>
                <w:rFonts w:ascii="仿宋" w:hAnsi="仿宋" w:eastAsia="仿宋" w:cs="Times"/>
                <w:b/>
                <w:bCs/>
                <w:sz w:val="24"/>
              </w:rPr>
              <w:t>图书情报与文献学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76E26B2">
            <w:pPr>
              <w:jc w:val="center"/>
              <w:rPr>
                <w:rFonts w:ascii="仿宋" w:hAnsi="仿宋" w:eastAsia="仿宋" w:cs="Times"/>
                <w:sz w:val="24"/>
              </w:rPr>
            </w:pPr>
            <w:r>
              <w:rPr>
                <w:rFonts w:ascii="仿宋" w:hAnsi="仿宋" w:eastAsia="仿宋" w:cs="Times"/>
                <w:sz w:val="24"/>
              </w:rPr>
              <w:t>《中国图书馆学报》</w:t>
            </w:r>
          </w:p>
        </w:tc>
      </w:tr>
      <w:tr w14:paraId="5830D2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5629B5A8">
            <w:pPr>
              <w:jc w:val="center"/>
              <w:rPr>
                <w:rFonts w:ascii="仿宋" w:hAnsi="仿宋" w:eastAsia="仿宋" w:cs="Times"/>
                <w:sz w:val="24"/>
              </w:rPr>
            </w:pPr>
            <w:r>
              <w:rPr>
                <w:rFonts w:ascii="仿宋" w:hAnsi="仿宋" w:eastAsia="仿宋" w:cs="Times"/>
                <w:sz w:val="24"/>
              </w:rPr>
              <w:t>20</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614B07F">
            <w:pPr>
              <w:jc w:val="center"/>
              <w:rPr>
                <w:rFonts w:ascii="仿宋" w:hAnsi="仿宋" w:eastAsia="仿宋" w:cs="Times"/>
                <w:b/>
                <w:bCs/>
                <w:sz w:val="24"/>
              </w:rPr>
            </w:pPr>
            <w:r>
              <w:rPr>
                <w:rFonts w:ascii="仿宋" w:hAnsi="仿宋" w:eastAsia="仿宋" w:cs="Times"/>
                <w:b/>
                <w:bCs/>
                <w:sz w:val="24"/>
              </w:rPr>
              <w:t>教育学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51013D83">
            <w:pPr>
              <w:jc w:val="center"/>
              <w:rPr>
                <w:rFonts w:ascii="仿宋" w:hAnsi="仿宋" w:eastAsia="仿宋" w:cs="Times"/>
                <w:sz w:val="24"/>
              </w:rPr>
            </w:pPr>
            <w:r>
              <w:rPr>
                <w:rFonts w:ascii="仿宋" w:hAnsi="仿宋" w:eastAsia="仿宋" w:cs="Times"/>
                <w:sz w:val="24"/>
              </w:rPr>
              <w:t>《教育研究》</w:t>
            </w:r>
          </w:p>
        </w:tc>
      </w:tr>
      <w:tr w14:paraId="02CDCDF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000000" w:sz="4" w:space="0"/>
              <w:right w:val="single" w:color="000000" w:sz="4" w:space="0"/>
            </w:tcBorders>
            <w:shd w:val="clear" w:color="auto" w:fill="FFFFFF"/>
            <w:noWrap w:val="0"/>
            <w:vAlign w:val="center"/>
          </w:tcPr>
          <w:p w14:paraId="3AB3593F">
            <w:pPr>
              <w:jc w:val="center"/>
              <w:rPr>
                <w:rFonts w:ascii="仿宋" w:hAnsi="仿宋" w:eastAsia="仿宋" w:cs="Times"/>
                <w:sz w:val="24"/>
              </w:rPr>
            </w:pPr>
            <w:r>
              <w:rPr>
                <w:rFonts w:ascii="仿宋" w:hAnsi="仿宋" w:eastAsia="仿宋" w:cs="Times"/>
                <w:sz w:val="24"/>
              </w:rPr>
              <w:t>21</w:t>
            </w:r>
          </w:p>
        </w:tc>
        <w:tc>
          <w:tcPr>
            <w:tcW w:w="2116" w:type="dxa"/>
            <w:tcBorders>
              <w:top w:val="nil"/>
              <w:left w:val="single" w:color="000000" w:sz="4" w:space="0"/>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0B0CE8A2">
            <w:pPr>
              <w:jc w:val="center"/>
              <w:rPr>
                <w:rFonts w:ascii="仿宋" w:hAnsi="仿宋" w:eastAsia="仿宋" w:cs="Times"/>
                <w:b/>
                <w:bCs/>
                <w:sz w:val="24"/>
              </w:rPr>
            </w:pPr>
            <w:r>
              <w:rPr>
                <w:rFonts w:ascii="仿宋" w:hAnsi="仿宋" w:eastAsia="仿宋" w:cs="Times"/>
                <w:b/>
                <w:bCs/>
                <w:sz w:val="24"/>
              </w:rPr>
              <w:t>体育科学</w:t>
            </w:r>
          </w:p>
        </w:tc>
        <w:tc>
          <w:tcPr>
            <w:tcW w:w="4948" w:type="dxa"/>
            <w:tcBorders>
              <w:top w:val="nil"/>
              <w:left w:val="nil"/>
              <w:bottom w:val="single" w:color="000000" w:sz="4" w:space="0"/>
              <w:right w:val="single" w:color="000000" w:sz="4" w:space="0"/>
            </w:tcBorders>
            <w:shd w:val="clear" w:color="auto" w:fill="auto"/>
            <w:noWrap w:val="0"/>
            <w:tcMar>
              <w:top w:w="0" w:type="dxa"/>
              <w:left w:w="62" w:type="dxa"/>
              <w:bottom w:w="0" w:type="dxa"/>
              <w:right w:w="62" w:type="dxa"/>
            </w:tcMar>
            <w:vAlign w:val="center"/>
          </w:tcPr>
          <w:p w14:paraId="1A7CAE40">
            <w:pPr>
              <w:jc w:val="center"/>
              <w:rPr>
                <w:rFonts w:ascii="仿宋" w:hAnsi="仿宋" w:eastAsia="仿宋" w:cs="Times"/>
                <w:sz w:val="24"/>
              </w:rPr>
            </w:pPr>
            <w:r>
              <w:rPr>
                <w:rFonts w:ascii="仿宋" w:hAnsi="仿宋" w:eastAsia="仿宋" w:cs="Times"/>
                <w:sz w:val="24"/>
              </w:rPr>
              <w:t>《体育科学》</w:t>
            </w:r>
          </w:p>
        </w:tc>
      </w:tr>
      <w:tr w14:paraId="68A3F5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nil"/>
              <w:left w:val="single" w:color="000000" w:sz="4" w:space="0"/>
              <w:bottom w:val="single" w:color="auto" w:sz="4" w:space="0"/>
              <w:right w:val="single" w:color="000000" w:sz="4" w:space="0"/>
            </w:tcBorders>
            <w:shd w:val="clear" w:color="auto" w:fill="FFFFFF"/>
            <w:noWrap w:val="0"/>
            <w:vAlign w:val="center"/>
          </w:tcPr>
          <w:p w14:paraId="28E60261">
            <w:pPr>
              <w:jc w:val="center"/>
              <w:rPr>
                <w:rFonts w:ascii="仿宋" w:hAnsi="仿宋" w:eastAsia="仿宋" w:cs="Times"/>
                <w:sz w:val="24"/>
              </w:rPr>
            </w:pPr>
            <w:r>
              <w:rPr>
                <w:rFonts w:ascii="仿宋" w:hAnsi="仿宋" w:eastAsia="仿宋" w:cs="Times"/>
                <w:sz w:val="24"/>
              </w:rPr>
              <w:t>22</w:t>
            </w:r>
          </w:p>
        </w:tc>
        <w:tc>
          <w:tcPr>
            <w:tcW w:w="2116" w:type="dxa"/>
            <w:tcBorders>
              <w:top w:val="nil"/>
              <w:left w:val="single" w:color="000000" w:sz="4" w:space="0"/>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19C9EA83">
            <w:pPr>
              <w:jc w:val="center"/>
              <w:rPr>
                <w:rFonts w:ascii="仿宋" w:hAnsi="仿宋" w:eastAsia="仿宋" w:cs="Times"/>
                <w:b/>
                <w:bCs/>
                <w:sz w:val="24"/>
              </w:rPr>
            </w:pPr>
            <w:r>
              <w:rPr>
                <w:rFonts w:ascii="仿宋" w:hAnsi="仿宋" w:eastAsia="仿宋" w:cs="Times"/>
                <w:b/>
                <w:bCs/>
                <w:sz w:val="24"/>
              </w:rPr>
              <w:t>心理学</w:t>
            </w:r>
          </w:p>
        </w:tc>
        <w:tc>
          <w:tcPr>
            <w:tcW w:w="4948" w:type="dxa"/>
            <w:tcBorders>
              <w:top w:val="nil"/>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38294CBA">
            <w:pPr>
              <w:jc w:val="center"/>
              <w:rPr>
                <w:rFonts w:ascii="仿宋" w:hAnsi="仿宋" w:eastAsia="仿宋" w:cs="Times"/>
                <w:sz w:val="24"/>
              </w:rPr>
            </w:pPr>
            <w:r>
              <w:rPr>
                <w:rFonts w:ascii="仿宋" w:hAnsi="仿宋" w:eastAsia="仿宋" w:cs="Times"/>
                <w:sz w:val="24"/>
              </w:rPr>
              <w:t>《心理学报》</w:t>
            </w:r>
          </w:p>
        </w:tc>
      </w:tr>
      <w:tr w14:paraId="24EEA8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7235D9E">
            <w:pPr>
              <w:jc w:val="center"/>
              <w:rPr>
                <w:rFonts w:ascii="仿宋" w:hAnsi="仿宋" w:eastAsia="仿宋" w:cs="Times"/>
                <w:sz w:val="24"/>
              </w:rPr>
            </w:pPr>
            <w:r>
              <w:rPr>
                <w:rFonts w:ascii="仿宋" w:hAnsi="仿宋" w:eastAsia="仿宋" w:cs="Times"/>
                <w:sz w:val="24"/>
              </w:rPr>
              <w:t>23</w:t>
            </w:r>
          </w:p>
        </w:tc>
        <w:tc>
          <w:tcPr>
            <w:tcW w:w="2116" w:type="dxa"/>
            <w:tcBorders>
              <w:top w:val="single" w:color="auto" w:sz="4" w:space="0"/>
              <w:left w:val="single" w:color="000000" w:sz="4" w:space="0"/>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6DBA839F">
            <w:pPr>
              <w:jc w:val="center"/>
              <w:rPr>
                <w:rFonts w:ascii="仿宋" w:hAnsi="仿宋" w:eastAsia="仿宋" w:cs="Times"/>
                <w:b/>
                <w:bCs/>
                <w:sz w:val="24"/>
              </w:rPr>
            </w:pPr>
            <w:r>
              <w:rPr>
                <w:rFonts w:ascii="仿宋" w:hAnsi="仿宋" w:eastAsia="仿宋" w:cs="Times"/>
                <w:b/>
                <w:bCs/>
                <w:sz w:val="24"/>
              </w:rPr>
              <w:t>统计学</w:t>
            </w: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4EB05AD7">
            <w:pPr>
              <w:jc w:val="center"/>
              <w:rPr>
                <w:rFonts w:ascii="仿宋" w:hAnsi="仿宋" w:eastAsia="仿宋" w:cs="Times"/>
                <w:sz w:val="24"/>
              </w:rPr>
            </w:pPr>
            <w:r>
              <w:rPr>
                <w:rFonts w:ascii="仿宋" w:hAnsi="仿宋" w:eastAsia="仿宋" w:cs="Times"/>
                <w:sz w:val="24"/>
              </w:rPr>
              <w:t>《统计研究》</w:t>
            </w:r>
          </w:p>
        </w:tc>
      </w:tr>
      <w:tr w14:paraId="1DA60F1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496625C2">
            <w:pPr>
              <w:jc w:val="center"/>
              <w:rPr>
                <w:rFonts w:ascii="仿宋" w:hAnsi="仿宋" w:eastAsia="仿宋" w:cs="Times"/>
                <w:sz w:val="24"/>
              </w:rPr>
            </w:pPr>
            <w:r>
              <w:rPr>
                <w:rFonts w:ascii="仿宋" w:hAnsi="仿宋" w:eastAsia="仿宋" w:cs="Times"/>
                <w:sz w:val="24"/>
              </w:rPr>
              <w:t>24</w:t>
            </w:r>
          </w:p>
        </w:tc>
        <w:tc>
          <w:tcPr>
            <w:tcW w:w="2116" w:type="dxa"/>
            <w:vMerge w:val="restart"/>
            <w:tcBorders>
              <w:top w:val="single" w:color="auto" w:sz="4" w:space="0"/>
              <w:left w:val="single" w:color="000000" w:sz="4" w:space="0"/>
              <w:right w:val="single" w:color="000000" w:sz="4" w:space="0"/>
            </w:tcBorders>
            <w:shd w:val="clear" w:color="auto" w:fill="auto"/>
            <w:noWrap w:val="0"/>
            <w:tcMar>
              <w:top w:w="0" w:type="dxa"/>
              <w:left w:w="62" w:type="dxa"/>
              <w:bottom w:w="0" w:type="dxa"/>
              <w:right w:w="62" w:type="dxa"/>
            </w:tcMar>
            <w:vAlign w:val="center"/>
          </w:tcPr>
          <w:p w14:paraId="351FAD77">
            <w:pPr>
              <w:jc w:val="center"/>
              <w:rPr>
                <w:rFonts w:ascii="仿宋" w:hAnsi="仿宋" w:eastAsia="仿宋" w:cs="Times"/>
                <w:b/>
                <w:bCs/>
                <w:sz w:val="24"/>
              </w:rPr>
            </w:pPr>
            <w:r>
              <w:rPr>
                <w:rFonts w:ascii="仿宋" w:hAnsi="仿宋" w:eastAsia="仿宋" w:cs="Times"/>
                <w:b/>
                <w:bCs/>
                <w:sz w:val="24"/>
              </w:rPr>
              <w:t>综合·综合性人文社科期刊</w:t>
            </w: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01A1477D">
            <w:pPr>
              <w:jc w:val="center"/>
              <w:rPr>
                <w:rFonts w:ascii="仿宋" w:hAnsi="仿宋" w:eastAsia="仿宋" w:cs="Times"/>
                <w:sz w:val="24"/>
              </w:rPr>
            </w:pPr>
            <w:r>
              <w:rPr>
                <w:rFonts w:ascii="仿宋" w:hAnsi="仿宋" w:eastAsia="仿宋" w:cs="Times"/>
                <w:sz w:val="24"/>
              </w:rPr>
              <w:t>《中国社会科学》</w:t>
            </w:r>
          </w:p>
        </w:tc>
      </w:tr>
      <w:tr w14:paraId="15710A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071C789F">
            <w:pPr>
              <w:jc w:val="center"/>
              <w:rPr>
                <w:rFonts w:ascii="仿宋" w:hAnsi="仿宋" w:eastAsia="仿宋" w:cs="Times"/>
                <w:sz w:val="24"/>
              </w:rPr>
            </w:pPr>
            <w:r>
              <w:rPr>
                <w:rFonts w:ascii="仿宋" w:hAnsi="仿宋" w:eastAsia="仿宋" w:cs="Times"/>
                <w:sz w:val="24"/>
              </w:rPr>
              <w:t>25</w:t>
            </w:r>
          </w:p>
        </w:tc>
        <w:tc>
          <w:tcPr>
            <w:tcW w:w="2116" w:type="dxa"/>
            <w:vMerge w:val="continue"/>
            <w:tcBorders>
              <w:left w:val="single" w:color="000000" w:sz="4" w:space="0"/>
              <w:right w:val="single" w:color="000000" w:sz="4" w:space="0"/>
            </w:tcBorders>
            <w:shd w:val="clear" w:color="auto" w:fill="auto"/>
            <w:noWrap w:val="0"/>
            <w:tcMar>
              <w:top w:w="0" w:type="dxa"/>
              <w:left w:w="62" w:type="dxa"/>
              <w:bottom w:w="0" w:type="dxa"/>
              <w:right w:w="62" w:type="dxa"/>
            </w:tcMar>
            <w:vAlign w:val="center"/>
          </w:tcPr>
          <w:p w14:paraId="74FEEEBD">
            <w:pPr>
              <w:jc w:val="center"/>
              <w:rPr>
                <w:rFonts w:ascii="仿宋" w:hAnsi="仿宋" w:eastAsia="仿宋" w:cs="Times"/>
                <w:b/>
                <w:bCs/>
                <w:sz w:val="24"/>
              </w:rPr>
            </w:pP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2007F681">
            <w:pPr>
              <w:jc w:val="center"/>
              <w:rPr>
                <w:rFonts w:ascii="仿宋" w:hAnsi="仿宋" w:eastAsia="仿宋" w:cs="Times"/>
                <w:sz w:val="24"/>
              </w:rPr>
            </w:pPr>
            <w:r>
              <w:rPr>
                <w:rFonts w:ascii="仿宋" w:hAnsi="仿宋" w:eastAsia="仿宋" w:cs="Times"/>
                <w:sz w:val="24"/>
              </w:rPr>
              <w:t>《文史哲》</w:t>
            </w:r>
          </w:p>
        </w:tc>
      </w:tr>
      <w:tr w14:paraId="62D1D0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10BBD80F">
            <w:pPr>
              <w:jc w:val="center"/>
              <w:rPr>
                <w:rFonts w:ascii="仿宋" w:hAnsi="仿宋" w:eastAsia="仿宋" w:cs="Times"/>
                <w:sz w:val="24"/>
              </w:rPr>
            </w:pPr>
            <w:r>
              <w:rPr>
                <w:rFonts w:ascii="仿宋" w:hAnsi="仿宋" w:eastAsia="仿宋" w:cs="Times"/>
                <w:sz w:val="24"/>
              </w:rPr>
              <w:t>26</w:t>
            </w:r>
          </w:p>
        </w:tc>
        <w:tc>
          <w:tcPr>
            <w:tcW w:w="2116" w:type="dxa"/>
            <w:vMerge w:val="continue"/>
            <w:tcBorders>
              <w:left w:val="single" w:color="000000" w:sz="4" w:space="0"/>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0714A8E0">
            <w:pPr>
              <w:jc w:val="center"/>
              <w:rPr>
                <w:rFonts w:ascii="仿宋" w:hAnsi="仿宋" w:eastAsia="仿宋" w:cs="Times"/>
                <w:b/>
                <w:bCs/>
                <w:sz w:val="24"/>
              </w:rPr>
            </w:pP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34E4D8CC">
            <w:pPr>
              <w:jc w:val="center"/>
              <w:rPr>
                <w:rFonts w:ascii="仿宋" w:hAnsi="仿宋" w:eastAsia="仿宋" w:cs="Times"/>
                <w:sz w:val="24"/>
              </w:rPr>
            </w:pPr>
            <w:r>
              <w:rPr>
                <w:rFonts w:ascii="仿宋" w:hAnsi="仿宋" w:eastAsia="仿宋" w:cs="Times"/>
                <w:sz w:val="24"/>
              </w:rPr>
              <w:t>《学术月刊》</w:t>
            </w:r>
          </w:p>
        </w:tc>
      </w:tr>
      <w:tr w14:paraId="58C171A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E3653D6">
            <w:pPr>
              <w:jc w:val="center"/>
              <w:rPr>
                <w:rFonts w:ascii="仿宋" w:hAnsi="仿宋" w:eastAsia="仿宋" w:cs="Times"/>
                <w:sz w:val="24"/>
              </w:rPr>
            </w:pPr>
            <w:r>
              <w:rPr>
                <w:rFonts w:ascii="仿宋" w:hAnsi="仿宋" w:eastAsia="仿宋" w:cs="Times"/>
                <w:sz w:val="24"/>
              </w:rPr>
              <w:t>27</w:t>
            </w:r>
          </w:p>
        </w:tc>
        <w:tc>
          <w:tcPr>
            <w:tcW w:w="2116" w:type="dxa"/>
            <w:vMerge w:val="restart"/>
            <w:tcBorders>
              <w:top w:val="single" w:color="auto" w:sz="4" w:space="0"/>
              <w:left w:val="single" w:color="000000" w:sz="4" w:space="0"/>
              <w:right w:val="single" w:color="000000" w:sz="4" w:space="0"/>
            </w:tcBorders>
            <w:shd w:val="clear" w:color="auto" w:fill="auto"/>
            <w:noWrap w:val="0"/>
            <w:tcMar>
              <w:top w:w="0" w:type="dxa"/>
              <w:left w:w="62" w:type="dxa"/>
              <w:bottom w:w="0" w:type="dxa"/>
              <w:right w:w="62" w:type="dxa"/>
            </w:tcMar>
            <w:vAlign w:val="center"/>
          </w:tcPr>
          <w:p w14:paraId="7EE161AB">
            <w:pPr>
              <w:jc w:val="center"/>
              <w:rPr>
                <w:rFonts w:ascii="仿宋" w:hAnsi="仿宋" w:eastAsia="仿宋" w:cs="Times"/>
                <w:b/>
                <w:bCs/>
                <w:sz w:val="24"/>
              </w:rPr>
            </w:pPr>
            <w:r>
              <w:rPr>
                <w:rFonts w:ascii="仿宋" w:hAnsi="仿宋" w:eastAsia="仿宋" w:cs="Times"/>
                <w:b/>
                <w:bCs/>
                <w:sz w:val="24"/>
              </w:rPr>
              <w:t>综合·高校综合性学报</w:t>
            </w: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6DCCC797">
            <w:pPr>
              <w:jc w:val="center"/>
              <w:rPr>
                <w:rFonts w:ascii="仿宋" w:hAnsi="仿宋" w:eastAsia="仿宋" w:cs="Times"/>
                <w:sz w:val="24"/>
              </w:rPr>
            </w:pPr>
            <w:r>
              <w:rPr>
                <w:rFonts w:ascii="仿宋" w:hAnsi="仿宋" w:eastAsia="仿宋" w:cs="Times"/>
                <w:sz w:val="24"/>
              </w:rPr>
              <w:t>《北京大学学报·哲学社会科学版》</w:t>
            </w:r>
          </w:p>
        </w:tc>
      </w:tr>
      <w:tr w14:paraId="335321E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4A30BEF7">
            <w:pPr>
              <w:jc w:val="center"/>
              <w:rPr>
                <w:rFonts w:ascii="仿宋" w:hAnsi="仿宋" w:eastAsia="仿宋" w:cs="Times"/>
                <w:sz w:val="24"/>
              </w:rPr>
            </w:pPr>
            <w:r>
              <w:rPr>
                <w:rFonts w:ascii="仿宋" w:hAnsi="仿宋" w:eastAsia="仿宋" w:cs="Times"/>
                <w:sz w:val="24"/>
              </w:rPr>
              <w:t>28</w:t>
            </w:r>
          </w:p>
        </w:tc>
        <w:tc>
          <w:tcPr>
            <w:tcW w:w="2116" w:type="dxa"/>
            <w:vMerge w:val="continue"/>
            <w:tcBorders>
              <w:left w:val="single" w:color="000000" w:sz="4" w:space="0"/>
              <w:right w:val="single" w:color="000000" w:sz="4" w:space="0"/>
            </w:tcBorders>
            <w:shd w:val="clear" w:color="auto" w:fill="auto"/>
            <w:noWrap w:val="0"/>
            <w:tcMar>
              <w:top w:w="0" w:type="dxa"/>
              <w:left w:w="62" w:type="dxa"/>
              <w:bottom w:w="0" w:type="dxa"/>
              <w:right w:w="62" w:type="dxa"/>
            </w:tcMar>
            <w:vAlign w:val="center"/>
          </w:tcPr>
          <w:p w14:paraId="62263AA0">
            <w:pPr>
              <w:jc w:val="center"/>
              <w:rPr>
                <w:rFonts w:ascii="仿宋" w:hAnsi="仿宋" w:eastAsia="仿宋" w:cs="Times"/>
                <w:sz w:val="24"/>
              </w:rPr>
            </w:pP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25104ED3">
            <w:pPr>
              <w:jc w:val="center"/>
              <w:rPr>
                <w:rFonts w:ascii="仿宋" w:hAnsi="仿宋" w:eastAsia="仿宋" w:cs="Times"/>
                <w:sz w:val="24"/>
              </w:rPr>
            </w:pPr>
            <w:r>
              <w:rPr>
                <w:rFonts w:ascii="仿宋" w:hAnsi="仿宋" w:eastAsia="仿宋" w:cs="Times"/>
                <w:sz w:val="24"/>
              </w:rPr>
              <w:t>《北京师范大学学报·社会科学版》</w:t>
            </w:r>
          </w:p>
        </w:tc>
      </w:tr>
      <w:tr w14:paraId="231C9E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F5486D7">
            <w:pPr>
              <w:jc w:val="center"/>
              <w:rPr>
                <w:rFonts w:ascii="仿宋" w:hAnsi="仿宋" w:eastAsia="仿宋" w:cs="Times"/>
                <w:sz w:val="24"/>
              </w:rPr>
            </w:pPr>
            <w:r>
              <w:rPr>
                <w:rFonts w:ascii="仿宋" w:hAnsi="仿宋" w:eastAsia="仿宋" w:cs="Times"/>
                <w:sz w:val="24"/>
              </w:rPr>
              <w:t>29</w:t>
            </w:r>
          </w:p>
        </w:tc>
        <w:tc>
          <w:tcPr>
            <w:tcW w:w="2116" w:type="dxa"/>
            <w:vMerge w:val="continue"/>
            <w:tcBorders>
              <w:left w:val="single" w:color="000000" w:sz="4" w:space="0"/>
              <w:right w:val="single" w:color="000000" w:sz="4" w:space="0"/>
            </w:tcBorders>
            <w:shd w:val="clear" w:color="auto" w:fill="auto"/>
            <w:noWrap w:val="0"/>
            <w:tcMar>
              <w:top w:w="0" w:type="dxa"/>
              <w:left w:w="62" w:type="dxa"/>
              <w:bottom w:w="0" w:type="dxa"/>
              <w:right w:w="62" w:type="dxa"/>
            </w:tcMar>
            <w:vAlign w:val="center"/>
          </w:tcPr>
          <w:p w14:paraId="4EA5ED51">
            <w:pPr>
              <w:jc w:val="center"/>
              <w:rPr>
                <w:rFonts w:ascii="仿宋" w:hAnsi="仿宋" w:eastAsia="仿宋" w:cs="Times"/>
                <w:sz w:val="24"/>
              </w:rPr>
            </w:pP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75820FCC">
            <w:pPr>
              <w:jc w:val="center"/>
              <w:rPr>
                <w:rFonts w:ascii="仿宋" w:hAnsi="仿宋" w:eastAsia="仿宋" w:cs="Times"/>
                <w:sz w:val="24"/>
              </w:rPr>
            </w:pPr>
            <w:r>
              <w:rPr>
                <w:rFonts w:ascii="仿宋" w:hAnsi="仿宋" w:eastAsia="仿宋" w:cs="Times"/>
                <w:sz w:val="24"/>
              </w:rPr>
              <w:t>《清华大学学报·哲学社会科学版》</w:t>
            </w:r>
          </w:p>
        </w:tc>
      </w:tr>
      <w:tr w14:paraId="498757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3" w:hRule="atLeast"/>
          <w:jc w:val="center"/>
        </w:trPr>
        <w:tc>
          <w:tcPr>
            <w:tcW w:w="659"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0098CA5B">
            <w:pPr>
              <w:jc w:val="center"/>
              <w:rPr>
                <w:rFonts w:ascii="仿宋" w:hAnsi="仿宋" w:eastAsia="仿宋" w:cs="Times"/>
                <w:sz w:val="24"/>
              </w:rPr>
            </w:pPr>
            <w:r>
              <w:rPr>
                <w:rFonts w:ascii="仿宋" w:hAnsi="仿宋" w:eastAsia="仿宋" w:cs="Times"/>
                <w:sz w:val="24"/>
              </w:rPr>
              <w:t>30</w:t>
            </w:r>
          </w:p>
        </w:tc>
        <w:tc>
          <w:tcPr>
            <w:tcW w:w="2116" w:type="dxa"/>
            <w:vMerge w:val="continue"/>
            <w:tcBorders>
              <w:left w:val="single" w:color="000000" w:sz="4" w:space="0"/>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426982BF">
            <w:pPr>
              <w:jc w:val="center"/>
              <w:rPr>
                <w:rFonts w:ascii="仿宋" w:hAnsi="仿宋" w:eastAsia="仿宋" w:cs="Times"/>
                <w:sz w:val="24"/>
              </w:rPr>
            </w:pPr>
          </w:p>
        </w:tc>
        <w:tc>
          <w:tcPr>
            <w:tcW w:w="4948" w:type="dxa"/>
            <w:tcBorders>
              <w:top w:val="single" w:color="auto" w:sz="4" w:space="0"/>
              <w:left w:val="nil"/>
              <w:bottom w:val="single" w:color="auto" w:sz="4" w:space="0"/>
              <w:right w:val="single" w:color="000000" w:sz="4" w:space="0"/>
            </w:tcBorders>
            <w:shd w:val="clear" w:color="auto" w:fill="auto"/>
            <w:noWrap w:val="0"/>
            <w:tcMar>
              <w:top w:w="0" w:type="dxa"/>
              <w:left w:w="62" w:type="dxa"/>
              <w:bottom w:w="0" w:type="dxa"/>
              <w:right w:w="62" w:type="dxa"/>
            </w:tcMar>
            <w:vAlign w:val="center"/>
          </w:tcPr>
          <w:p w14:paraId="2D4A6AE8">
            <w:pPr>
              <w:jc w:val="center"/>
              <w:rPr>
                <w:rFonts w:ascii="仿宋" w:hAnsi="仿宋" w:eastAsia="仿宋" w:cs="Times"/>
                <w:sz w:val="24"/>
              </w:rPr>
            </w:pPr>
            <w:r>
              <w:rPr>
                <w:rFonts w:ascii="仿宋" w:hAnsi="仿宋" w:eastAsia="仿宋" w:cs="Times"/>
                <w:sz w:val="24"/>
              </w:rPr>
              <w:t>《中国人民大学学报》</w:t>
            </w:r>
          </w:p>
        </w:tc>
      </w:tr>
    </w:tbl>
    <w:p w14:paraId="68483E66">
      <w:pPr>
        <w:rPr>
          <w:rFonts w:ascii="Times" w:hAnsi="Times" w:eastAsia="仿宋" w:cs="Times"/>
        </w:rPr>
      </w:pPr>
    </w:p>
    <w:p w14:paraId="13A30A54">
      <w:pPr>
        <w:rPr>
          <w:rFonts w:ascii="Times" w:hAnsi="Times" w:eastAsia="仿宋" w:cs="Times"/>
        </w:rPr>
      </w:pPr>
    </w:p>
    <w:p w14:paraId="3699CB05">
      <w:pPr>
        <w:spacing w:line="440" w:lineRule="exact"/>
        <w:jc w:val="left"/>
        <w:outlineLvl w:val="1"/>
        <w:rPr>
          <w:rFonts w:ascii="Times" w:hAnsi="Times" w:eastAsia="仿宋" w:cs="Times"/>
          <w:b/>
          <w:sz w:val="32"/>
          <w:szCs w:val="32"/>
        </w:rPr>
      </w:pPr>
      <w:r>
        <w:rPr>
          <w:rFonts w:ascii="Times" w:hAnsi="Times" w:eastAsia="仿宋" w:cs="Times"/>
          <w:b/>
          <w:sz w:val="28"/>
          <w:szCs w:val="28"/>
        </w:rPr>
        <w:t>附表2：参考我校《高级职称学术与技术成果说明》中的“创作类奖励”</w:t>
      </w:r>
      <w:bookmarkStart w:id="0" w:name="_Hlk114301013"/>
    </w:p>
    <w:p w14:paraId="75F05DFD">
      <w:pPr>
        <w:spacing w:line="360" w:lineRule="auto"/>
        <w:jc w:val="center"/>
        <w:outlineLvl w:val="1"/>
        <w:rPr>
          <w:rFonts w:ascii="Times" w:hAnsi="Times" w:eastAsia="仿宋" w:cs="Times"/>
          <w:b/>
          <w:sz w:val="32"/>
          <w:szCs w:val="32"/>
        </w:rPr>
      </w:pPr>
      <w:r>
        <w:rPr>
          <w:rFonts w:ascii="Times" w:hAnsi="Times" w:eastAsia="仿宋" w:cs="Times"/>
          <w:b/>
          <w:sz w:val="32"/>
          <w:szCs w:val="32"/>
        </w:rPr>
        <w:t>高水平创作类奖励</w:t>
      </w:r>
    </w:p>
    <w:bookmarkEnd w:id="0"/>
    <w:tbl>
      <w:tblPr>
        <w:tblStyle w:val="7"/>
        <w:tblW w:w="86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5766"/>
        <w:gridCol w:w="1379"/>
      </w:tblGrid>
      <w:tr w14:paraId="42CE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tcBorders>
              <w:top w:val="single" w:color="auto" w:sz="4" w:space="0"/>
              <w:left w:val="single" w:color="auto" w:sz="4" w:space="0"/>
              <w:right w:val="single" w:color="auto" w:sz="4" w:space="0"/>
            </w:tcBorders>
            <w:noWrap w:val="0"/>
            <w:vAlign w:val="center"/>
          </w:tcPr>
          <w:p w14:paraId="1352B585">
            <w:pPr>
              <w:jc w:val="center"/>
              <w:rPr>
                <w:rFonts w:ascii="仿宋" w:hAnsi="仿宋" w:eastAsia="仿宋" w:cs="Times"/>
                <w:b/>
                <w:sz w:val="24"/>
              </w:rPr>
            </w:pPr>
            <w:r>
              <w:rPr>
                <w:rFonts w:ascii="仿宋" w:hAnsi="仿宋" w:eastAsia="仿宋" w:cs="Times"/>
                <w:b/>
                <w:bCs/>
                <w:sz w:val="24"/>
              </w:rPr>
              <w:t>类别</w:t>
            </w:r>
          </w:p>
        </w:tc>
        <w:tc>
          <w:tcPr>
            <w:tcW w:w="5766" w:type="dxa"/>
            <w:tcBorders>
              <w:top w:val="single" w:color="auto" w:sz="4" w:space="0"/>
              <w:left w:val="nil"/>
              <w:bottom w:val="single" w:color="auto" w:sz="4" w:space="0"/>
              <w:right w:val="single" w:color="auto" w:sz="4" w:space="0"/>
            </w:tcBorders>
            <w:noWrap w:val="0"/>
            <w:vAlign w:val="center"/>
          </w:tcPr>
          <w:p w14:paraId="6A62EC30">
            <w:pPr>
              <w:spacing w:line="440" w:lineRule="exact"/>
              <w:jc w:val="center"/>
              <w:outlineLvl w:val="1"/>
              <w:rPr>
                <w:rFonts w:ascii="仿宋" w:hAnsi="仿宋" w:eastAsia="仿宋" w:cs="Times"/>
                <w:sz w:val="24"/>
              </w:rPr>
            </w:pPr>
            <w:r>
              <w:rPr>
                <w:rFonts w:ascii="仿宋" w:hAnsi="仿宋" w:eastAsia="仿宋" w:cs="Times"/>
                <w:b/>
                <w:bCs/>
                <w:sz w:val="24"/>
              </w:rPr>
              <w:t>奖项</w:t>
            </w:r>
          </w:p>
        </w:tc>
        <w:tc>
          <w:tcPr>
            <w:tcW w:w="1379" w:type="dxa"/>
            <w:tcBorders>
              <w:top w:val="single" w:color="auto" w:sz="4" w:space="0"/>
              <w:left w:val="nil"/>
              <w:bottom w:val="single" w:color="auto" w:sz="4" w:space="0"/>
              <w:right w:val="single" w:color="auto" w:sz="4" w:space="0"/>
            </w:tcBorders>
            <w:noWrap w:val="0"/>
            <w:vAlign w:val="center"/>
          </w:tcPr>
          <w:p w14:paraId="5872D79C">
            <w:pPr>
              <w:spacing w:line="440" w:lineRule="exact"/>
              <w:jc w:val="center"/>
              <w:outlineLvl w:val="1"/>
              <w:rPr>
                <w:rFonts w:ascii="仿宋" w:hAnsi="仿宋" w:eastAsia="仿宋" w:cs="Times"/>
                <w:sz w:val="24"/>
                <w:lang w:bidi="ar"/>
              </w:rPr>
            </w:pPr>
            <w:r>
              <w:rPr>
                <w:rFonts w:ascii="仿宋" w:hAnsi="仿宋" w:eastAsia="仿宋" w:cs="Times"/>
                <w:b/>
                <w:bCs/>
                <w:sz w:val="24"/>
              </w:rPr>
              <w:t>备注</w:t>
            </w:r>
          </w:p>
        </w:tc>
      </w:tr>
      <w:tr w14:paraId="2352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restart"/>
            <w:tcBorders>
              <w:left w:val="single" w:color="auto" w:sz="4" w:space="0"/>
              <w:right w:val="single" w:color="auto" w:sz="4" w:space="0"/>
            </w:tcBorders>
            <w:noWrap w:val="0"/>
            <w:vAlign w:val="center"/>
          </w:tcPr>
          <w:p w14:paraId="331E4A08">
            <w:pPr>
              <w:jc w:val="center"/>
              <w:rPr>
                <w:rFonts w:ascii="仿宋" w:hAnsi="仿宋" w:eastAsia="仿宋" w:cs="Times"/>
                <w:b/>
                <w:sz w:val="24"/>
              </w:rPr>
            </w:pPr>
            <w:r>
              <w:rPr>
                <w:rFonts w:ascii="仿宋" w:hAnsi="仿宋" w:eastAsia="仿宋" w:cs="Times"/>
                <w:b/>
                <w:sz w:val="24"/>
              </w:rPr>
              <w:t>国际级</w:t>
            </w:r>
          </w:p>
        </w:tc>
        <w:tc>
          <w:tcPr>
            <w:tcW w:w="5766" w:type="dxa"/>
            <w:tcBorders>
              <w:top w:val="single" w:color="auto" w:sz="4" w:space="0"/>
              <w:left w:val="nil"/>
              <w:bottom w:val="single" w:color="auto" w:sz="4" w:space="0"/>
              <w:right w:val="single" w:color="auto" w:sz="4" w:space="0"/>
            </w:tcBorders>
            <w:noWrap w:val="0"/>
            <w:vAlign w:val="center"/>
          </w:tcPr>
          <w:p w14:paraId="0C96BBC5">
            <w:pPr>
              <w:jc w:val="left"/>
              <w:rPr>
                <w:rFonts w:ascii="仿宋" w:hAnsi="仿宋" w:eastAsia="仿宋" w:cs="Times"/>
                <w:sz w:val="24"/>
              </w:rPr>
            </w:pPr>
            <w:r>
              <w:rPr>
                <w:rFonts w:ascii="仿宋" w:hAnsi="仿宋" w:eastAsia="仿宋" w:cs="Times"/>
                <w:sz w:val="24"/>
              </w:rPr>
              <w:t>美国戏剧托尼奖</w:t>
            </w:r>
          </w:p>
        </w:tc>
        <w:tc>
          <w:tcPr>
            <w:tcW w:w="1379" w:type="dxa"/>
            <w:vMerge w:val="restart"/>
            <w:tcBorders>
              <w:left w:val="nil"/>
              <w:right w:val="single" w:color="auto" w:sz="4" w:space="0"/>
            </w:tcBorders>
            <w:noWrap w:val="0"/>
            <w:vAlign w:val="center"/>
          </w:tcPr>
          <w:p w14:paraId="6DAC2C92">
            <w:pPr>
              <w:rPr>
                <w:rFonts w:ascii="仿宋" w:hAnsi="仿宋" w:eastAsia="仿宋" w:cs="Times"/>
                <w:sz w:val="24"/>
                <w:lang w:bidi="ar"/>
              </w:rPr>
            </w:pPr>
          </w:p>
        </w:tc>
      </w:tr>
      <w:tr w14:paraId="60B4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24B908C9">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6253F473">
            <w:pPr>
              <w:jc w:val="left"/>
              <w:rPr>
                <w:rFonts w:ascii="仿宋" w:hAnsi="仿宋" w:eastAsia="仿宋" w:cs="Times"/>
                <w:sz w:val="24"/>
              </w:rPr>
            </w:pPr>
            <w:r>
              <w:rPr>
                <w:rFonts w:ascii="仿宋" w:hAnsi="仿宋" w:eastAsia="仿宋" w:cs="Times"/>
                <w:sz w:val="24"/>
              </w:rPr>
              <w:t>普利策奖</w:t>
            </w:r>
          </w:p>
        </w:tc>
        <w:tc>
          <w:tcPr>
            <w:tcW w:w="1379" w:type="dxa"/>
            <w:vMerge w:val="continue"/>
            <w:tcBorders>
              <w:left w:val="nil"/>
              <w:right w:val="single" w:color="auto" w:sz="4" w:space="0"/>
            </w:tcBorders>
            <w:noWrap w:val="0"/>
            <w:vAlign w:val="center"/>
          </w:tcPr>
          <w:p w14:paraId="32F1E220">
            <w:pPr>
              <w:rPr>
                <w:rFonts w:ascii="仿宋" w:hAnsi="仿宋" w:eastAsia="仿宋" w:cs="Times"/>
                <w:sz w:val="24"/>
                <w:lang w:bidi="ar"/>
              </w:rPr>
            </w:pPr>
          </w:p>
        </w:tc>
      </w:tr>
      <w:tr w14:paraId="4FFD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09EB6C21">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57FCF73">
            <w:pPr>
              <w:jc w:val="left"/>
              <w:rPr>
                <w:rFonts w:ascii="仿宋" w:hAnsi="仿宋" w:eastAsia="仿宋" w:cs="Times"/>
                <w:sz w:val="24"/>
              </w:rPr>
            </w:pPr>
            <w:r>
              <w:rPr>
                <w:rFonts w:ascii="仿宋" w:hAnsi="仿宋" w:eastAsia="仿宋" w:cs="Times"/>
                <w:sz w:val="24"/>
              </w:rPr>
              <w:t>美国奥斯卡“金像奖”</w:t>
            </w:r>
          </w:p>
        </w:tc>
        <w:tc>
          <w:tcPr>
            <w:tcW w:w="1379" w:type="dxa"/>
            <w:vMerge w:val="continue"/>
            <w:tcBorders>
              <w:left w:val="nil"/>
              <w:right w:val="single" w:color="auto" w:sz="4" w:space="0"/>
            </w:tcBorders>
            <w:noWrap w:val="0"/>
            <w:vAlign w:val="center"/>
          </w:tcPr>
          <w:p w14:paraId="09AC7746">
            <w:pPr>
              <w:rPr>
                <w:rFonts w:ascii="仿宋" w:hAnsi="仿宋" w:eastAsia="仿宋" w:cs="Times"/>
                <w:sz w:val="24"/>
                <w:lang w:bidi="ar"/>
              </w:rPr>
            </w:pPr>
          </w:p>
        </w:tc>
      </w:tr>
      <w:tr w14:paraId="404A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77A106C">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5910777E">
            <w:pPr>
              <w:jc w:val="left"/>
              <w:rPr>
                <w:rFonts w:ascii="仿宋" w:hAnsi="仿宋" w:eastAsia="仿宋" w:cs="Times"/>
                <w:sz w:val="24"/>
              </w:rPr>
            </w:pPr>
            <w:r>
              <w:rPr>
                <w:rFonts w:ascii="仿宋" w:hAnsi="仿宋" w:eastAsia="仿宋" w:cs="Times"/>
                <w:sz w:val="24"/>
              </w:rPr>
              <w:t>美国电影“金球奖”</w:t>
            </w:r>
          </w:p>
        </w:tc>
        <w:tc>
          <w:tcPr>
            <w:tcW w:w="1379" w:type="dxa"/>
            <w:vMerge w:val="continue"/>
            <w:tcBorders>
              <w:left w:val="nil"/>
              <w:right w:val="single" w:color="auto" w:sz="4" w:space="0"/>
            </w:tcBorders>
            <w:noWrap w:val="0"/>
            <w:vAlign w:val="center"/>
          </w:tcPr>
          <w:p w14:paraId="14F23506">
            <w:pPr>
              <w:rPr>
                <w:rFonts w:ascii="仿宋" w:hAnsi="仿宋" w:eastAsia="仿宋" w:cs="Times"/>
                <w:sz w:val="24"/>
                <w:lang w:bidi="ar"/>
              </w:rPr>
            </w:pPr>
          </w:p>
        </w:tc>
      </w:tr>
      <w:tr w14:paraId="7FE2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0AB4F408">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3AAF923D">
            <w:pPr>
              <w:jc w:val="left"/>
              <w:rPr>
                <w:rFonts w:ascii="仿宋" w:hAnsi="仿宋" w:eastAsia="仿宋" w:cs="Times"/>
                <w:sz w:val="24"/>
              </w:rPr>
            </w:pPr>
            <w:r>
              <w:rPr>
                <w:rFonts w:ascii="仿宋" w:hAnsi="仿宋" w:eastAsia="仿宋" w:cs="Times"/>
                <w:sz w:val="24"/>
              </w:rPr>
              <w:t>美国电视“艾美奖”</w:t>
            </w:r>
          </w:p>
        </w:tc>
        <w:tc>
          <w:tcPr>
            <w:tcW w:w="1379" w:type="dxa"/>
            <w:vMerge w:val="continue"/>
            <w:tcBorders>
              <w:left w:val="nil"/>
              <w:right w:val="single" w:color="auto" w:sz="4" w:space="0"/>
            </w:tcBorders>
            <w:noWrap w:val="0"/>
            <w:vAlign w:val="center"/>
          </w:tcPr>
          <w:p w14:paraId="6CEB8918">
            <w:pPr>
              <w:rPr>
                <w:rFonts w:ascii="仿宋" w:hAnsi="仿宋" w:eastAsia="仿宋" w:cs="Times"/>
                <w:sz w:val="24"/>
                <w:lang w:bidi="ar"/>
              </w:rPr>
            </w:pPr>
          </w:p>
        </w:tc>
      </w:tr>
      <w:tr w14:paraId="4CEE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32F8C6D0">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589D5C3">
            <w:pPr>
              <w:jc w:val="left"/>
              <w:rPr>
                <w:rFonts w:ascii="仿宋" w:hAnsi="仿宋" w:eastAsia="仿宋" w:cs="Times"/>
                <w:sz w:val="24"/>
              </w:rPr>
            </w:pPr>
            <w:r>
              <w:rPr>
                <w:rFonts w:ascii="仿宋" w:hAnsi="仿宋" w:eastAsia="仿宋" w:cs="Times"/>
                <w:sz w:val="24"/>
              </w:rPr>
              <w:t>法国戛纳国际电影节“金棕榈奖”</w:t>
            </w:r>
          </w:p>
        </w:tc>
        <w:tc>
          <w:tcPr>
            <w:tcW w:w="1379" w:type="dxa"/>
            <w:vMerge w:val="continue"/>
            <w:tcBorders>
              <w:left w:val="nil"/>
              <w:right w:val="single" w:color="auto" w:sz="4" w:space="0"/>
            </w:tcBorders>
            <w:noWrap w:val="0"/>
            <w:vAlign w:val="center"/>
          </w:tcPr>
          <w:p w14:paraId="7E222F8D">
            <w:pPr>
              <w:rPr>
                <w:rFonts w:ascii="仿宋" w:hAnsi="仿宋" w:eastAsia="仿宋" w:cs="Times"/>
                <w:sz w:val="24"/>
                <w:lang w:bidi="ar"/>
              </w:rPr>
            </w:pPr>
          </w:p>
        </w:tc>
      </w:tr>
      <w:tr w14:paraId="3C99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522" w:type="dxa"/>
            <w:vMerge w:val="continue"/>
            <w:tcBorders>
              <w:left w:val="single" w:color="auto" w:sz="4" w:space="0"/>
              <w:right w:val="single" w:color="auto" w:sz="4" w:space="0"/>
            </w:tcBorders>
            <w:noWrap w:val="0"/>
            <w:vAlign w:val="center"/>
          </w:tcPr>
          <w:p w14:paraId="117C5F73">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5F1A146">
            <w:pPr>
              <w:jc w:val="left"/>
              <w:rPr>
                <w:rFonts w:ascii="仿宋" w:hAnsi="仿宋" w:eastAsia="仿宋" w:cs="Times"/>
                <w:sz w:val="24"/>
              </w:rPr>
            </w:pPr>
            <w:r>
              <w:rPr>
                <w:rFonts w:ascii="仿宋" w:hAnsi="仿宋" w:eastAsia="仿宋" w:cs="Times"/>
                <w:sz w:val="24"/>
              </w:rPr>
              <w:t>德国柏林国际电影节“金熊奖”</w:t>
            </w:r>
          </w:p>
        </w:tc>
        <w:tc>
          <w:tcPr>
            <w:tcW w:w="1379" w:type="dxa"/>
            <w:vMerge w:val="continue"/>
            <w:tcBorders>
              <w:left w:val="nil"/>
              <w:right w:val="single" w:color="auto" w:sz="4" w:space="0"/>
            </w:tcBorders>
            <w:noWrap w:val="0"/>
            <w:vAlign w:val="center"/>
          </w:tcPr>
          <w:p w14:paraId="35A7ED0B">
            <w:pPr>
              <w:rPr>
                <w:rFonts w:ascii="仿宋" w:hAnsi="仿宋" w:eastAsia="仿宋" w:cs="Times"/>
                <w:sz w:val="24"/>
                <w:lang w:bidi="ar"/>
              </w:rPr>
            </w:pPr>
          </w:p>
        </w:tc>
      </w:tr>
      <w:tr w14:paraId="464A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522" w:type="dxa"/>
            <w:vMerge w:val="continue"/>
            <w:tcBorders>
              <w:left w:val="single" w:color="auto" w:sz="4" w:space="0"/>
              <w:right w:val="single" w:color="auto" w:sz="4" w:space="0"/>
            </w:tcBorders>
            <w:noWrap w:val="0"/>
            <w:vAlign w:val="center"/>
          </w:tcPr>
          <w:p w14:paraId="08ECCED2">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3FC7BB76">
            <w:pPr>
              <w:jc w:val="left"/>
              <w:rPr>
                <w:rFonts w:ascii="仿宋" w:hAnsi="仿宋" w:eastAsia="仿宋" w:cs="Times"/>
                <w:sz w:val="24"/>
              </w:rPr>
            </w:pPr>
            <w:r>
              <w:rPr>
                <w:rFonts w:ascii="仿宋" w:hAnsi="仿宋" w:eastAsia="仿宋" w:cs="Times"/>
                <w:sz w:val="24"/>
              </w:rPr>
              <w:t>加拿大蒙特利尔国际电影节“美洲大奖”</w:t>
            </w:r>
          </w:p>
        </w:tc>
        <w:tc>
          <w:tcPr>
            <w:tcW w:w="1379" w:type="dxa"/>
            <w:vMerge w:val="continue"/>
            <w:tcBorders>
              <w:left w:val="nil"/>
              <w:right w:val="single" w:color="auto" w:sz="4" w:space="0"/>
            </w:tcBorders>
            <w:noWrap w:val="0"/>
            <w:vAlign w:val="center"/>
          </w:tcPr>
          <w:p w14:paraId="7D668965">
            <w:pPr>
              <w:rPr>
                <w:rFonts w:ascii="仿宋" w:hAnsi="仿宋" w:eastAsia="仿宋" w:cs="Times"/>
                <w:sz w:val="24"/>
                <w:lang w:bidi="ar"/>
              </w:rPr>
            </w:pPr>
          </w:p>
        </w:tc>
      </w:tr>
      <w:tr w14:paraId="0335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2" w:type="dxa"/>
            <w:vMerge w:val="continue"/>
            <w:tcBorders>
              <w:left w:val="single" w:color="auto" w:sz="4" w:space="0"/>
              <w:right w:val="single" w:color="auto" w:sz="4" w:space="0"/>
            </w:tcBorders>
            <w:noWrap w:val="0"/>
            <w:vAlign w:val="center"/>
          </w:tcPr>
          <w:p w14:paraId="59B6AB8A">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47AE893">
            <w:pPr>
              <w:jc w:val="left"/>
              <w:rPr>
                <w:rFonts w:ascii="仿宋" w:hAnsi="仿宋" w:eastAsia="仿宋" w:cs="Times"/>
                <w:sz w:val="24"/>
              </w:rPr>
            </w:pPr>
            <w:r>
              <w:rPr>
                <w:rFonts w:ascii="仿宋" w:hAnsi="仿宋" w:eastAsia="仿宋" w:cs="Times"/>
                <w:sz w:val="24"/>
              </w:rPr>
              <w:t>威尼斯国际电影节“金狮奖”</w:t>
            </w:r>
          </w:p>
        </w:tc>
        <w:tc>
          <w:tcPr>
            <w:tcW w:w="1379" w:type="dxa"/>
            <w:vMerge w:val="continue"/>
            <w:tcBorders>
              <w:left w:val="nil"/>
              <w:right w:val="single" w:color="auto" w:sz="4" w:space="0"/>
            </w:tcBorders>
            <w:noWrap w:val="0"/>
            <w:vAlign w:val="center"/>
          </w:tcPr>
          <w:p w14:paraId="7FFE356F">
            <w:pPr>
              <w:rPr>
                <w:rFonts w:ascii="仿宋" w:hAnsi="仿宋" w:eastAsia="仿宋" w:cs="Times"/>
                <w:sz w:val="24"/>
                <w:lang w:bidi="ar"/>
              </w:rPr>
            </w:pPr>
          </w:p>
        </w:tc>
      </w:tr>
      <w:tr w14:paraId="3057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30630DB4">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75F8C65E">
            <w:pPr>
              <w:jc w:val="left"/>
              <w:rPr>
                <w:rFonts w:ascii="仿宋" w:hAnsi="仿宋" w:eastAsia="仿宋" w:cs="Times"/>
                <w:sz w:val="24"/>
              </w:rPr>
            </w:pPr>
            <w:r>
              <w:rPr>
                <w:rFonts w:ascii="仿宋" w:hAnsi="仿宋" w:eastAsia="仿宋" w:cs="Times"/>
                <w:sz w:val="24"/>
              </w:rPr>
              <w:t>上海国际电影节“金爵奖”</w:t>
            </w:r>
          </w:p>
        </w:tc>
        <w:tc>
          <w:tcPr>
            <w:tcW w:w="1379" w:type="dxa"/>
            <w:vMerge w:val="continue"/>
            <w:tcBorders>
              <w:left w:val="nil"/>
              <w:right w:val="single" w:color="auto" w:sz="4" w:space="0"/>
            </w:tcBorders>
            <w:noWrap w:val="0"/>
            <w:vAlign w:val="center"/>
          </w:tcPr>
          <w:p w14:paraId="7BC1E4C1">
            <w:pPr>
              <w:rPr>
                <w:rFonts w:ascii="仿宋" w:hAnsi="仿宋" w:eastAsia="仿宋" w:cs="Times"/>
                <w:sz w:val="24"/>
                <w:lang w:bidi="ar"/>
              </w:rPr>
            </w:pPr>
          </w:p>
        </w:tc>
      </w:tr>
      <w:tr w14:paraId="0238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restart"/>
            <w:tcBorders>
              <w:left w:val="single" w:color="auto" w:sz="4" w:space="0"/>
              <w:right w:val="single" w:color="auto" w:sz="4" w:space="0"/>
            </w:tcBorders>
            <w:noWrap w:val="0"/>
            <w:vAlign w:val="center"/>
          </w:tcPr>
          <w:p w14:paraId="247A13C4">
            <w:pPr>
              <w:jc w:val="center"/>
              <w:rPr>
                <w:rFonts w:ascii="仿宋" w:hAnsi="仿宋" w:eastAsia="仿宋" w:cs="Times"/>
                <w:b/>
                <w:sz w:val="24"/>
              </w:rPr>
            </w:pPr>
            <w:r>
              <w:rPr>
                <w:rFonts w:ascii="仿宋" w:hAnsi="仿宋" w:eastAsia="仿宋" w:cs="Times"/>
                <w:b/>
                <w:sz w:val="24"/>
              </w:rPr>
              <w:t>国家级</w:t>
            </w:r>
          </w:p>
          <w:p w14:paraId="53014134">
            <w:pPr>
              <w:jc w:val="center"/>
              <w:rPr>
                <w:rFonts w:ascii="仿宋" w:hAnsi="仿宋" w:eastAsia="仿宋" w:cs="Times"/>
                <w:b/>
                <w:sz w:val="24"/>
              </w:rPr>
            </w:pPr>
            <w:r>
              <w:rPr>
                <w:rFonts w:ascii="仿宋" w:hAnsi="仿宋" w:eastAsia="仿宋" w:cs="Times"/>
                <w:b/>
                <w:sz w:val="24"/>
              </w:rPr>
              <w:t>比赛</w:t>
            </w:r>
          </w:p>
        </w:tc>
        <w:tc>
          <w:tcPr>
            <w:tcW w:w="5766" w:type="dxa"/>
            <w:tcBorders>
              <w:top w:val="single" w:color="auto" w:sz="4" w:space="0"/>
              <w:left w:val="nil"/>
              <w:bottom w:val="single" w:color="auto" w:sz="4" w:space="0"/>
              <w:right w:val="single" w:color="auto" w:sz="4" w:space="0"/>
            </w:tcBorders>
            <w:noWrap w:val="0"/>
            <w:vAlign w:val="center"/>
          </w:tcPr>
          <w:p w14:paraId="1DC2E59B">
            <w:pPr>
              <w:jc w:val="left"/>
              <w:rPr>
                <w:rFonts w:ascii="仿宋" w:hAnsi="仿宋" w:eastAsia="仿宋" w:cs="Times"/>
                <w:sz w:val="24"/>
              </w:rPr>
            </w:pPr>
            <w:r>
              <w:rPr>
                <w:rFonts w:ascii="仿宋" w:hAnsi="仿宋" w:eastAsia="仿宋" w:cs="Times"/>
                <w:sz w:val="24"/>
              </w:rPr>
              <w:t>中宣部“五个一工程”奖</w:t>
            </w:r>
          </w:p>
        </w:tc>
        <w:tc>
          <w:tcPr>
            <w:tcW w:w="1379" w:type="dxa"/>
            <w:vMerge w:val="restart"/>
            <w:tcBorders>
              <w:top w:val="single" w:color="auto" w:sz="4" w:space="0"/>
              <w:left w:val="nil"/>
              <w:right w:val="single" w:color="auto" w:sz="4" w:space="0"/>
            </w:tcBorders>
            <w:noWrap w:val="0"/>
            <w:vAlign w:val="center"/>
          </w:tcPr>
          <w:p w14:paraId="08C6856A">
            <w:pPr>
              <w:jc w:val="left"/>
              <w:rPr>
                <w:rFonts w:ascii="仿宋" w:hAnsi="仿宋" w:eastAsia="仿宋" w:cs="Times"/>
                <w:sz w:val="24"/>
                <w:lang w:bidi="ar"/>
              </w:rPr>
            </w:pPr>
          </w:p>
        </w:tc>
      </w:tr>
      <w:tr w14:paraId="6DFB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7513B201">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6BCF61F9">
            <w:pPr>
              <w:jc w:val="left"/>
              <w:rPr>
                <w:rFonts w:ascii="仿宋" w:hAnsi="仿宋" w:eastAsia="仿宋" w:cs="Times"/>
                <w:sz w:val="24"/>
              </w:rPr>
            </w:pPr>
            <w:r>
              <w:rPr>
                <w:rFonts w:ascii="仿宋" w:hAnsi="仿宋" w:eastAsia="仿宋" w:cs="Times"/>
                <w:sz w:val="24"/>
              </w:rPr>
              <w:t>中国文化艺术政府奖 文华奖</w:t>
            </w:r>
          </w:p>
        </w:tc>
        <w:tc>
          <w:tcPr>
            <w:tcW w:w="1379" w:type="dxa"/>
            <w:vMerge w:val="continue"/>
            <w:tcBorders>
              <w:left w:val="nil"/>
              <w:right w:val="single" w:color="auto" w:sz="4" w:space="0"/>
            </w:tcBorders>
            <w:noWrap w:val="0"/>
            <w:vAlign w:val="center"/>
          </w:tcPr>
          <w:p w14:paraId="7D849A0C">
            <w:pPr>
              <w:jc w:val="center"/>
              <w:rPr>
                <w:rFonts w:ascii="仿宋" w:hAnsi="仿宋" w:eastAsia="仿宋" w:cs="Times"/>
                <w:sz w:val="24"/>
                <w:lang w:bidi="ar"/>
              </w:rPr>
            </w:pPr>
          </w:p>
        </w:tc>
      </w:tr>
      <w:tr w14:paraId="7413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393E53F8">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3BE56161">
            <w:pPr>
              <w:jc w:val="left"/>
              <w:rPr>
                <w:rFonts w:ascii="仿宋" w:hAnsi="仿宋" w:eastAsia="仿宋" w:cs="Times"/>
                <w:sz w:val="24"/>
              </w:rPr>
            </w:pPr>
            <w:r>
              <w:rPr>
                <w:rFonts w:ascii="仿宋" w:hAnsi="仿宋" w:eastAsia="仿宋" w:cs="Times"/>
                <w:sz w:val="24"/>
              </w:rPr>
              <w:t>中国文化艺术政府 群星奖</w:t>
            </w:r>
          </w:p>
        </w:tc>
        <w:tc>
          <w:tcPr>
            <w:tcW w:w="1379" w:type="dxa"/>
            <w:vMerge w:val="continue"/>
            <w:tcBorders>
              <w:left w:val="nil"/>
              <w:right w:val="single" w:color="auto" w:sz="4" w:space="0"/>
            </w:tcBorders>
            <w:noWrap w:val="0"/>
            <w:vAlign w:val="center"/>
          </w:tcPr>
          <w:p w14:paraId="6BC245FF">
            <w:pPr>
              <w:jc w:val="center"/>
              <w:rPr>
                <w:rFonts w:ascii="仿宋" w:hAnsi="仿宋" w:eastAsia="仿宋" w:cs="Times"/>
                <w:sz w:val="24"/>
                <w:lang w:bidi="ar"/>
              </w:rPr>
            </w:pPr>
          </w:p>
        </w:tc>
      </w:tr>
      <w:tr w14:paraId="3FCC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02E4747">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09D30528">
            <w:pPr>
              <w:jc w:val="left"/>
              <w:rPr>
                <w:rFonts w:ascii="仿宋" w:hAnsi="仿宋" w:eastAsia="仿宋" w:cs="Times"/>
                <w:sz w:val="24"/>
              </w:rPr>
            </w:pPr>
            <w:r>
              <w:rPr>
                <w:rFonts w:ascii="仿宋" w:hAnsi="仿宋" w:eastAsia="仿宋" w:cs="Times"/>
                <w:sz w:val="24"/>
              </w:rPr>
              <w:t>国家舞台艺术精品工程</w:t>
            </w:r>
          </w:p>
        </w:tc>
        <w:tc>
          <w:tcPr>
            <w:tcW w:w="1379" w:type="dxa"/>
            <w:vMerge w:val="continue"/>
            <w:tcBorders>
              <w:left w:val="nil"/>
              <w:right w:val="single" w:color="auto" w:sz="4" w:space="0"/>
            </w:tcBorders>
            <w:noWrap w:val="0"/>
            <w:vAlign w:val="center"/>
          </w:tcPr>
          <w:p w14:paraId="4AF1083F">
            <w:pPr>
              <w:jc w:val="center"/>
              <w:rPr>
                <w:rFonts w:ascii="仿宋" w:hAnsi="仿宋" w:eastAsia="仿宋" w:cs="Times"/>
                <w:sz w:val="24"/>
                <w:lang w:bidi="ar"/>
              </w:rPr>
            </w:pPr>
          </w:p>
        </w:tc>
      </w:tr>
      <w:tr w14:paraId="6540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62C3EF64">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0694491F">
            <w:pPr>
              <w:jc w:val="left"/>
              <w:rPr>
                <w:rFonts w:ascii="仿宋" w:hAnsi="仿宋" w:eastAsia="仿宋" w:cs="Times"/>
                <w:sz w:val="24"/>
              </w:rPr>
            </w:pPr>
            <w:r>
              <w:rPr>
                <w:rFonts w:ascii="仿宋" w:hAnsi="仿宋" w:eastAsia="仿宋" w:cs="Times"/>
                <w:sz w:val="24"/>
              </w:rPr>
              <w:t>中国戏剧奖(含梅花表演奖、曹禺剧本奖、优秀剧目奖、小戏小品奖、理论评论奖、校园戏剧奖）</w:t>
            </w:r>
          </w:p>
        </w:tc>
        <w:tc>
          <w:tcPr>
            <w:tcW w:w="1379" w:type="dxa"/>
            <w:vMerge w:val="continue"/>
            <w:tcBorders>
              <w:left w:val="nil"/>
              <w:right w:val="single" w:color="auto" w:sz="4" w:space="0"/>
            </w:tcBorders>
            <w:noWrap w:val="0"/>
            <w:vAlign w:val="center"/>
          </w:tcPr>
          <w:p w14:paraId="01F5E78B">
            <w:pPr>
              <w:jc w:val="center"/>
              <w:rPr>
                <w:rFonts w:ascii="仿宋" w:hAnsi="仿宋" w:eastAsia="仿宋" w:cs="Times"/>
                <w:sz w:val="24"/>
                <w:lang w:bidi="ar"/>
              </w:rPr>
            </w:pPr>
          </w:p>
        </w:tc>
      </w:tr>
      <w:tr w14:paraId="6641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707C75A2">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20FA7A41">
            <w:pPr>
              <w:jc w:val="left"/>
              <w:rPr>
                <w:rFonts w:ascii="仿宋" w:hAnsi="仿宋" w:eastAsia="仿宋" w:cs="Times"/>
                <w:sz w:val="24"/>
              </w:rPr>
            </w:pPr>
            <w:r>
              <w:rPr>
                <w:rFonts w:ascii="仿宋" w:hAnsi="仿宋" w:eastAsia="仿宋" w:cs="Times"/>
                <w:sz w:val="24"/>
              </w:rPr>
              <w:t>中国曲艺牡丹奖</w:t>
            </w:r>
          </w:p>
        </w:tc>
        <w:tc>
          <w:tcPr>
            <w:tcW w:w="1379" w:type="dxa"/>
            <w:vMerge w:val="continue"/>
            <w:tcBorders>
              <w:left w:val="nil"/>
              <w:right w:val="single" w:color="auto" w:sz="4" w:space="0"/>
            </w:tcBorders>
            <w:noWrap w:val="0"/>
            <w:vAlign w:val="center"/>
          </w:tcPr>
          <w:p w14:paraId="7CEB7714">
            <w:pPr>
              <w:jc w:val="center"/>
              <w:rPr>
                <w:rFonts w:ascii="仿宋" w:hAnsi="仿宋" w:eastAsia="仿宋" w:cs="Times"/>
                <w:sz w:val="24"/>
                <w:lang w:bidi="ar"/>
              </w:rPr>
            </w:pPr>
          </w:p>
        </w:tc>
      </w:tr>
      <w:tr w14:paraId="0402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FBEBA6D">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2F54816E">
            <w:pPr>
              <w:jc w:val="left"/>
              <w:rPr>
                <w:rFonts w:ascii="仿宋" w:hAnsi="仿宋" w:eastAsia="仿宋" w:cs="Times"/>
                <w:sz w:val="24"/>
              </w:rPr>
            </w:pPr>
            <w:r>
              <w:rPr>
                <w:rFonts w:ascii="仿宋" w:hAnsi="仿宋" w:eastAsia="仿宋" w:cs="Times"/>
                <w:sz w:val="24"/>
              </w:rPr>
              <w:t>中国民间文艺山花奖</w:t>
            </w:r>
          </w:p>
        </w:tc>
        <w:tc>
          <w:tcPr>
            <w:tcW w:w="1379" w:type="dxa"/>
            <w:vMerge w:val="continue"/>
            <w:tcBorders>
              <w:left w:val="nil"/>
              <w:right w:val="single" w:color="auto" w:sz="4" w:space="0"/>
            </w:tcBorders>
            <w:noWrap w:val="0"/>
            <w:vAlign w:val="center"/>
          </w:tcPr>
          <w:p w14:paraId="74B294E9">
            <w:pPr>
              <w:jc w:val="center"/>
              <w:rPr>
                <w:rFonts w:ascii="仿宋" w:hAnsi="仿宋" w:eastAsia="仿宋" w:cs="Times"/>
                <w:sz w:val="24"/>
                <w:lang w:bidi="ar"/>
              </w:rPr>
            </w:pPr>
          </w:p>
        </w:tc>
      </w:tr>
      <w:tr w14:paraId="1A43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522" w:type="dxa"/>
            <w:vMerge w:val="continue"/>
            <w:tcBorders>
              <w:left w:val="single" w:color="auto" w:sz="4" w:space="0"/>
              <w:right w:val="single" w:color="auto" w:sz="4" w:space="0"/>
            </w:tcBorders>
            <w:noWrap w:val="0"/>
            <w:vAlign w:val="center"/>
          </w:tcPr>
          <w:p w14:paraId="4CA3E078">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7D239BF2">
            <w:pPr>
              <w:jc w:val="left"/>
              <w:rPr>
                <w:rFonts w:ascii="仿宋" w:hAnsi="仿宋" w:eastAsia="仿宋" w:cs="Times"/>
                <w:sz w:val="24"/>
              </w:rPr>
            </w:pPr>
            <w:r>
              <w:rPr>
                <w:rFonts w:ascii="仿宋" w:hAnsi="仿宋" w:eastAsia="仿宋" w:cs="Times"/>
                <w:sz w:val="24"/>
              </w:rPr>
              <w:t>中国广播影视大奖</w:t>
            </w:r>
          </w:p>
          <w:p w14:paraId="57DEF632">
            <w:pPr>
              <w:rPr>
                <w:rFonts w:ascii="仿宋" w:hAnsi="仿宋" w:eastAsia="仿宋" w:cs="Times"/>
                <w:sz w:val="24"/>
              </w:rPr>
            </w:pPr>
            <w:r>
              <w:rPr>
                <w:rFonts w:ascii="仿宋" w:hAnsi="仿宋" w:eastAsia="仿宋" w:cs="Times"/>
                <w:sz w:val="24"/>
              </w:rPr>
              <w:t>(含“华表奖”、“飞天奖”、“星光奖”)</w:t>
            </w:r>
          </w:p>
        </w:tc>
        <w:tc>
          <w:tcPr>
            <w:tcW w:w="1379" w:type="dxa"/>
            <w:vMerge w:val="continue"/>
            <w:tcBorders>
              <w:left w:val="nil"/>
              <w:right w:val="single" w:color="auto" w:sz="4" w:space="0"/>
            </w:tcBorders>
            <w:noWrap w:val="0"/>
            <w:vAlign w:val="center"/>
          </w:tcPr>
          <w:p w14:paraId="3F34C98E">
            <w:pPr>
              <w:jc w:val="center"/>
              <w:rPr>
                <w:rFonts w:ascii="仿宋" w:hAnsi="仿宋" w:eastAsia="仿宋" w:cs="Times"/>
                <w:sz w:val="24"/>
                <w:lang w:bidi="ar"/>
              </w:rPr>
            </w:pPr>
          </w:p>
        </w:tc>
      </w:tr>
      <w:tr w14:paraId="668A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522" w:type="dxa"/>
            <w:vMerge w:val="continue"/>
            <w:tcBorders>
              <w:left w:val="single" w:color="auto" w:sz="4" w:space="0"/>
              <w:right w:val="single" w:color="auto" w:sz="4" w:space="0"/>
            </w:tcBorders>
            <w:noWrap w:val="0"/>
            <w:vAlign w:val="center"/>
          </w:tcPr>
          <w:p w14:paraId="7F2C8FFF">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3885A21E">
            <w:pPr>
              <w:jc w:val="left"/>
              <w:rPr>
                <w:rFonts w:ascii="仿宋" w:hAnsi="仿宋" w:eastAsia="仿宋" w:cs="Times"/>
                <w:sz w:val="24"/>
              </w:rPr>
            </w:pPr>
            <w:r>
              <w:rPr>
                <w:rFonts w:ascii="仿宋" w:hAnsi="仿宋" w:eastAsia="仿宋" w:cs="Times"/>
                <w:sz w:val="24"/>
              </w:rPr>
              <w:t>大众电影“百花奖”</w:t>
            </w:r>
          </w:p>
        </w:tc>
        <w:tc>
          <w:tcPr>
            <w:tcW w:w="1379" w:type="dxa"/>
            <w:vMerge w:val="continue"/>
            <w:tcBorders>
              <w:left w:val="nil"/>
              <w:right w:val="single" w:color="auto" w:sz="4" w:space="0"/>
            </w:tcBorders>
            <w:noWrap w:val="0"/>
            <w:vAlign w:val="center"/>
          </w:tcPr>
          <w:p w14:paraId="3505D4BC">
            <w:pPr>
              <w:jc w:val="center"/>
              <w:rPr>
                <w:rFonts w:ascii="仿宋" w:hAnsi="仿宋" w:eastAsia="仿宋" w:cs="Times"/>
                <w:sz w:val="24"/>
                <w:lang w:bidi="ar"/>
              </w:rPr>
            </w:pPr>
          </w:p>
        </w:tc>
      </w:tr>
      <w:tr w14:paraId="7795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C03B1E7">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09BA1E1F">
            <w:pPr>
              <w:jc w:val="left"/>
              <w:rPr>
                <w:rFonts w:ascii="仿宋" w:hAnsi="仿宋" w:eastAsia="仿宋" w:cs="Times"/>
                <w:sz w:val="24"/>
              </w:rPr>
            </w:pPr>
            <w:r>
              <w:rPr>
                <w:rFonts w:ascii="仿宋" w:hAnsi="仿宋" w:eastAsia="仿宋" w:cs="Times"/>
                <w:sz w:val="24"/>
              </w:rPr>
              <w:t>中国电影“金鸡奖”</w:t>
            </w:r>
          </w:p>
        </w:tc>
        <w:tc>
          <w:tcPr>
            <w:tcW w:w="1379" w:type="dxa"/>
            <w:vMerge w:val="continue"/>
            <w:tcBorders>
              <w:left w:val="nil"/>
              <w:right w:val="single" w:color="auto" w:sz="4" w:space="0"/>
            </w:tcBorders>
            <w:noWrap w:val="0"/>
            <w:vAlign w:val="center"/>
          </w:tcPr>
          <w:p w14:paraId="3DF4BBB0">
            <w:pPr>
              <w:jc w:val="center"/>
              <w:rPr>
                <w:rFonts w:ascii="仿宋" w:hAnsi="仿宋" w:eastAsia="仿宋" w:cs="Times"/>
                <w:sz w:val="24"/>
                <w:lang w:bidi="ar"/>
              </w:rPr>
            </w:pPr>
          </w:p>
        </w:tc>
      </w:tr>
      <w:tr w14:paraId="7117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9321F6B">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A993E1A">
            <w:pPr>
              <w:jc w:val="left"/>
              <w:rPr>
                <w:rFonts w:ascii="仿宋" w:hAnsi="仿宋" w:eastAsia="仿宋" w:cs="Times"/>
                <w:sz w:val="24"/>
              </w:rPr>
            </w:pPr>
            <w:r>
              <w:rPr>
                <w:rFonts w:ascii="仿宋" w:hAnsi="仿宋" w:eastAsia="仿宋" w:cs="Times"/>
                <w:sz w:val="24"/>
              </w:rPr>
              <w:t>中国电视“金鹰奖”</w:t>
            </w:r>
          </w:p>
        </w:tc>
        <w:tc>
          <w:tcPr>
            <w:tcW w:w="1379" w:type="dxa"/>
            <w:vMerge w:val="continue"/>
            <w:tcBorders>
              <w:left w:val="nil"/>
              <w:right w:val="single" w:color="auto" w:sz="4" w:space="0"/>
            </w:tcBorders>
            <w:noWrap w:val="0"/>
            <w:vAlign w:val="center"/>
          </w:tcPr>
          <w:p w14:paraId="0DB6030F">
            <w:pPr>
              <w:jc w:val="center"/>
              <w:rPr>
                <w:rFonts w:ascii="仿宋" w:hAnsi="仿宋" w:eastAsia="仿宋" w:cs="Times"/>
                <w:sz w:val="24"/>
                <w:lang w:bidi="ar"/>
              </w:rPr>
            </w:pPr>
          </w:p>
        </w:tc>
      </w:tr>
      <w:tr w14:paraId="6B51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5DB70815">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704C289C">
            <w:pPr>
              <w:jc w:val="left"/>
              <w:rPr>
                <w:rFonts w:ascii="仿宋" w:hAnsi="仿宋" w:eastAsia="仿宋" w:cs="Times"/>
                <w:sz w:val="24"/>
              </w:rPr>
            </w:pPr>
            <w:r>
              <w:rPr>
                <w:rFonts w:ascii="仿宋" w:hAnsi="仿宋" w:eastAsia="仿宋" w:cs="Times"/>
                <w:sz w:val="24"/>
              </w:rPr>
              <w:t>中国音乐“金钟奖”</w:t>
            </w:r>
          </w:p>
        </w:tc>
        <w:tc>
          <w:tcPr>
            <w:tcW w:w="1379" w:type="dxa"/>
            <w:vMerge w:val="continue"/>
            <w:tcBorders>
              <w:left w:val="nil"/>
              <w:right w:val="single" w:color="auto" w:sz="4" w:space="0"/>
            </w:tcBorders>
            <w:noWrap w:val="0"/>
            <w:vAlign w:val="center"/>
          </w:tcPr>
          <w:p w14:paraId="5B5BAEFF">
            <w:pPr>
              <w:jc w:val="center"/>
              <w:rPr>
                <w:rFonts w:ascii="仿宋" w:hAnsi="仿宋" w:eastAsia="仿宋" w:cs="Times"/>
                <w:sz w:val="24"/>
                <w:lang w:bidi="ar"/>
              </w:rPr>
            </w:pPr>
          </w:p>
        </w:tc>
      </w:tr>
      <w:tr w14:paraId="5E30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36A7C5BE">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48A84F7B">
            <w:pPr>
              <w:jc w:val="left"/>
              <w:rPr>
                <w:rFonts w:ascii="仿宋" w:hAnsi="仿宋" w:eastAsia="仿宋" w:cs="Times"/>
                <w:sz w:val="24"/>
              </w:rPr>
            </w:pPr>
            <w:r>
              <w:rPr>
                <w:rFonts w:ascii="仿宋" w:hAnsi="仿宋" w:eastAsia="仿宋" w:cs="Times"/>
                <w:sz w:val="24"/>
              </w:rPr>
              <w:t>中国摄影“金像奖”</w:t>
            </w:r>
          </w:p>
        </w:tc>
        <w:tc>
          <w:tcPr>
            <w:tcW w:w="1379" w:type="dxa"/>
            <w:vMerge w:val="continue"/>
            <w:tcBorders>
              <w:left w:val="nil"/>
              <w:right w:val="single" w:color="auto" w:sz="4" w:space="0"/>
            </w:tcBorders>
            <w:noWrap w:val="0"/>
            <w:vAlign w:val="center"/>
          </w:tcPr>
          <w:p w14:paraId="69440DF7">
            <w:pPr>
              <w:jc w:val="center"/>
              <w:rPr>
                <w:rFonts w:ascii="仿宋" w:hAnsi="仿宋" w:eastAsia="仿宋" w:cs="Times"/>
                <w:sz w:val="24"/>
                <w:lang w:bidi="ar"/>
              </w:rPr>
            </w:pPr>
          </w:p>
        </w:tc>
      </w:tr>
      <w:tr w14:paraId="7D3B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A3B081F">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67A98EAC">
            <w:pPr>
              <w:jc w:val="left"/>
              <w:rPr>
                <w:rFonts w:ascii="仿宋" w:hAnsi="仿宋" w:eastAsia="仿宋" w:cs="Times"/>
                <w:sz w:val="24"/>
              </w:rPr>
            </w:pPr>
            <w:r>
              <w:rPr>
                <w:rFonts w:ascii="仿宋" w:hAnsi="仿宋" w:eastAsia="仿宋" w:cs="Times"/>
                <w:sz w:val="24"/>
              </w:rPr>
              <w:t>全国美术展览奖</w:t>
            </w:r>
          </w:p>
        </w:tc>
        <w:tc>
          <w:tcPr>
            <w:tcW w:w="1379" w:type="dxa"/>
            <w:vMerge w:val="continue"/>
            <w:tcBorders>
              <w:left w:val="nil"/>
              <w:right w:val="single" w:color="auto" w:sz="4" w:space="0"/>
            </w:tcBorders>
            <w:noWrap w:val="0"/>
            <w:vAlign w:val="center"/>
          </w:tcPr>
          <w:p w14:paraId="07302891">
            <w:pPr>
              <w:jc w:val="center"/>
              <w:rPr>
                <w:rFonts w:ascii="仿宋" w:hAnsi="仿宋" w:eastAsia="仿宋" w:cs="Times"/>
                <w:sz w:val="24"/>
                <w:lang w:bidi="ar"/>
              </w:rPr>
            </w:pPr>
          </w:p>
        </w:tc>
      </w:tr>
      <w:tr w14:paraId="663E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48B14441">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3A8F2ED4">
            <w:pPr>
              <w:jc w:val="left"/>
              <w:rPr>
                <w:rFonts w:ascii="仿宋" w:hAnsi="仿宋" w:eastAsia="仿宋" w:cs="Times"/>
                <w:sz w:val="24"/>
              </w:rPr>
            </w:pPr>
            <w:r>
              <w:rPr>
                <w:rFonts w:ascii="仿宋" w:hAnsi="仿宋" w:eastAsia="仿宋" w:cs="Times"/>
                <w:sz w:val="24"/>
              </w:rPr>
              <w:t>中国新闻奖</w:t>
            </w:r>
          </w:p>
        </w:tc>
        <w:tc>
          <w:tcPr>
            <w:tcW w:w="1379" w:type="dxa"/>
            <w:vMerge w:val="continue"/>
            <w:tcBorders>
              <w:left w:val="nil"/>
              <w:right w:val="single" w:color="auto" w:sz="4" w:space="0"/>
            </w:tcBorders>
            <w:noWrap w:val="0"/>
            <w:vAlign w:val="center"/>
          </w:tcPr>
          <w:p w14:paraId="7E294B29">
            <w:pPr>
              <w:jc w:val="center"/>
              <w:rPr>
                <w:rFonts w:ascii="仿宋" w:hAnsi="仿宋" w:eastAsia="仿宋" w:cs="Times"/>
                <w:sz w:val="24"/>
                <w:lang w:bidi="ar"/>
              </w:rPr>
            </w:pPr>
          </w:p>
        </w:tc>
      </w:tr>
      <w:tr w14:paraId="483D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764A64E2">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77348EFF">
            <w:pPr>
              <w:jc w:val="left"/>
              <w:rPr>
                <w:rFonts w:ascii="仿宋" w:hAnsi="仿宋" w:eastAsia="仿宋" w:cs="Times"/>
                <w:sz w:val="24"/>
              </w:rPr>
            </w:pPr>
            <w:r>
              <w:rPr>
                <w:rFonts w:ascii="仿宋" w:hAnsi="仿宋" w:eastAsia="仿宋" w:cs="Times"/>
                <w:sz w:val="24"/>
              </w:rPr>
              <w:t>中国政府出版奖</w:t>
            </w:r>
          </w:p>
        </w:tc>
        <w:tc>
          <w:tcPr>
            <w:tcW w:w="1379" w:type="dxa"/>
            <w:vMerge w:val="continue"/>
            <w:tcBorders>
              <w:left w:val="nil"/>
              <w:right w:val="single" w:color="auto" w:sz="4" w:space="0"/>
            </w:tcBorders>
            <w:noWrap w:val="0"/>
            <w:vAlign w:val="center"/>
          </w:tcPr>
          <w:p w14:paraId="3EADC9DF">
            <w:pPr>
              <w:jc w:val="center"/>
              <w:rPr>
                <w:rFonts w:ascii="仿宋" w:hAnsi="仿宋" w:eastAsia="仿宋" w:cs="Times"/>
                <w:sz w:val="24"/>
                <w:lang w:bidi="ar"/>
              </w:rPr>
            </w:pPr>
          </w:p>
        </w:tc>
      </w:tr>
      <w:tr w14:paraId="6C29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49EEC7C2">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11ED6E5C">
            <w:pPr>
              <w:jc w:val="left"/>
              <w:rPr>
                <w:rFonts w:ascii="仿宋" w:hAnsi="仿宋" w:eastAsia="仿宋" w:cs="Times"/>
                <w:sz w:val="24"/>
              </w:rPr>
            </w:pPr>
            <w:r>
              <w:rPr>
                <w:rFonts w:ascii="仿宋" w:hAnsi="仿宋" w:eastAsia="仿宋" w:cs="Times"/>
                <w:sz w:val="24"/>
              </w:rPr>
              <w:t>茅盾文学奖</w:t>
            </w:r>
          </w:p>
        </w:tc>
        <w:tc>
          <w:tcPr>
            <w:tcW w:w="1379" w:type="dxa"/>
            <w:vMerge w:val="continue"/>
            <w:tcBorders>
              <w:left w:val="nil"/>
              <w:right w:val="single" w:color="auto" w:sz="4" w:space="0"/>
            </w:tcBorders>
            <w:noWrap w:val="0"/>
            <w:vAlign w:val="center"/>
          </w:tcPr>
          <w:p w14:paraId="03CE4F73">
            <w:pPr>
              <w:jc w:val="center"/>
              <w:rPr>
                <w:rFonts w:ascii="仿宋" w:hAnsi="仿宋" w:eastAsia="仿宋" w:cs="Times"/>
                <w:sz w:val="24"/>
                <w:lang w:bidi="ar"/>
              </w:rPr>
            </w:pPr>
          </w:p>
        </w:tc>
      </w:tr>
      <w:tr w14:paraId="30D3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71C3DC31">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0D988499">
            <w:pPr>
              <w:jc w:val="left"/>
              <w:rPr>
                <w:rFonts w:ascii="仿宋" w:hAnsi="仿宋" w:eastAsia="仿宋" w:cs="Times"/>
                <w:sz w:val="24"/>
              </w:rPr>
            </w:pPr>
            <w:r>
              <w:rPr>
                <w:rFonts w:ascii="仿宋" w:hAnsi="仿宋" w:eastAsia="仿宋" w:cs="Times"/>
                <w:sz w:val="24"/>
              </w:rPr>
              <w:t>鲁迅文学奖</w:t>
            </w:r>
          </w:p>
        </w:tc>
        <w:tc>
          <w:tcPr>
            <w:tcW w:w="1379" w:type="dxa"/>
            <w:vMerge w:val="continue"/>
            <w:tcBorders>
              <w:left w:val="nil"/>
              <w:right w:val="single" w:color="auto" w:sz="4" w:space="0"/>
            </w:tcBorders>
            <w:noWrap w:val="0"/>
            <w:vAlign w:val="center"/>
          </w:tcPr>
          <w:p w14:paraId="7ED5DF55">
            <w:pPr>
              <w:jc w:val="center"/>
              <w:rPr>
                <w:rFonts w:ascii="仿宋" w:hAnsi="仿宋" w:eastAsia="仿宋" w:cs="Times"/>
                <w:sz w:val="24"/>
                <w:lang w:bidi="ar"/>
              </w:rPr>
            </w:pPr>
          </w:p>
        </w:tc>
      </w:tr>
      <w:tr w14:paraId="66F4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53A79640">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58B2D3BD">
            <w:pPr>
              <w:jc w:val="left"/>
              <w:rPr>
                <w:rFonts w:ascii="仿宋" w:hAnsi="仿宋" w:eastAsia="仿宋" w:cs="Times"/>
                <w:sz w:val="24"/>
              </w:rPr>
            </w:pPr>
            <w:r>
              <w:rPr>
                <w:rFonts w:ascii="仿宋" w:hAnsi="仿宋" w:eastAsia="仿宋" w:cs="Times"/>
                <w:sz w:val="24"/>
              </w:rPr>
              <w:t>全国优秀儿童文学奖</w:t>
            </w:r>
          </w:p>
        </w:tc>
        <w:tc>
          <w:tcPr>
            <w:tcW w:w="1379" w:type="dxa"/>
            <w:vMerge w:val="continue"/>
            <w:tcBorders>
              <w:left w:val="nil"/>
              <w:right w:val="single" w:color="auto" w:sz="4" w:space="0"/>
            </w:tcBorders>
            <w:noWrap w:val="0"/>
            <w:vAlign w:val="center"/>
          </w:tcPr>
          <w:p w14:paraId="10FBB0E0">
            <w:pPr>
              <w:jc w:val="center"/>
              <w:rPr>
                <w:rFonts w:ascii="仿宋" w:hAnsi="仿宋" w:eastAsia="仿宋" w:cs="Times"/>
                <w:sz w:val="24"/>
                <w:lang w:bidi="ar"/>
              </w:rPr>
            </w:pPr>
          </w:p>
        </w:tc>
      </w:tr>
      <w:tr w14:paraId="483C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4FB28071">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2ABDFC62">
            <w:pPr>
              <w:jc w:val="left"/>
              <w:rPr>
                <w:rFonts w:ascii="仿宋" w:hAnsi="仿宋" w:eastAsia="仿宋" w:cs="Times"/>
                <w:sz w:val="24"/>
              </w:rPr>
            </w:pPr>
            <w:r>
              <w:rPr>
                <w:rFonts w:ascii="仿宋" w:hAnsi="仿宋" w:eastAsia="仿宋" w:cs="Times"/>
                <w:sz w:val="24"/>
              </w:rPr>
              <w:t>全国少数民族文学创作奖"骏马奖"</w:t>
            </w:r>
          </w:p>
        </w:tc>
        <w:tc>
          <w:tcPr>
            <w:tcW w:w="1379" w:type="dxa"/>
            <w:vMerge w:val="continue"/>
            <w:tcBorders>
              <w:left w:val="nil"/>
              <w:right w:val="single" w:color="auto" w:sz="4" w:space="0"/>
            </w:tcBorders>
            <w:noWrap w:val="0"/>
            <w:vAlign w:val="center"/>
          </w:tcPr>
          <w:p w14:paraId="34700BD5">
            <w:pPr>
              <w:jc w:val="center"/>
              <w:rPr>
                <w:rFonts w:ascii="仿宋" w:hAnsi="仿宋" w:eastAsia="仿宋" w:cs="Times"/>
                <w:sz w:val="24"/>
                <w:lang w:bidi="ar"/>
              </w:rPr>
            </w:pPr>
          </w:p>
        </w:tc>
      </w:tr>
      <w:tr w14:paraId="167F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574002B8">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5976B469">
            <w:pPr>
              <w:jc w:val="left"/>
              <w:rPr>
                <w:rFonts w:ascii="仿宋" w:hAnsi="仿宋" w:eastAsia="仿宋" w:cs="Times"/>
                <w:sz w:val="24"/>
              </w:rPr>
            </w:pPr>
            <w:r>
              <w:rPr>
                <w:rFonts w:ascii="仿宋" w:hAnsi="仿宋" w:eastAsia="仿宋" w:cs="Times"/>
                <w:sz w:val="24"/>
              </w:rPr>
              <w:t>上海“白玉兰”戏剧表演艺术奖</w:t>
            </w:r>
          </w:p>
        </w:tc>
        <w:tc>
          <w:tcPr>
            <w:tcW w:w="1379" w:type="dxa"/>
            <w:vMerge w:val="continue"/>
            <w:tcBorders>
              <w:left w:val="nil"/>
              <w:right w:val="single" w:color="auto" w:sz="4" w:space="0"/>
            </w:tcBorders>
            <w:noWrap w:val="0"/>
            <w:vAlign w:val="center"/>
          </w:tcPr>
          <w:p w14:paraId="44B262BE">
            <w:pPr>
              <w:jc w:val="center"/>
              <w:rPr>
                <w:rFonts w:ascii="仿宋" w:hAnsi="仿宋" w:eastAsia="仿宋" w:cs="Times"/>
                <w:sz w:val="24"/>
                <w:lang w:bidi="ar"/>
              </w:rPr>
            </w:pPr>
          </w:p>
        </w:tc>
      </w:tr>
      <w:tr w14:paraId="5858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continue"/>
            <w:tcBorders>
              <w:left w:val="single" w:color="auto" w:sz="4" w:space="0"/>
              <w:right w:val="single" w:color="auto" w:sz="4" w:space="0"/>
            </w:tcBorders>
            <w:noWrap w:val="0"/>
            <w:vAlign w:val="center"/>
          </w:tcPr>
          <w:p w14:paraId="1A56BB06">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5E752673">
            <w:pPr>
              <w:jc w:val="left"/>
              <w:rPr>
                <w:rFonts w:ascii="仿宋" w:hAnsi="仿宋" w:eastAsia="仿宋" w:cs="Times"/>
                <w:sz w:val="24"/>
              </w:rPr>
            </w:pPr>
            <w:r>
              <w:rPr>
                <w:rFonts w:ascii="仿宋" w:hAnsi="仿宋" w:eastAsia="仿宋" w:cs="Times"/>
                <w:sz w:val="24"/>
              </w:rPr>
              <w:t>中国昆剧节（获奖）</w:t>
            </w:r>
          </w:p>
        </w:tc>
        <w:tc>
          <w:tcPr>
            <w:tcW w:w="1379" w:type="dxa"/>
            <w:vMerge w:val="continue"/>
            <w:tcBorders>
              <w:left w:val="nil"/>
              <w:right w:val="single" w:color="auto" w:sz="4" w:space="0"/>
            </w:tcBorders>
            <w:noWrap w:val="0"/>
            <w:vAlign w:val="center"/>
          </w:tcPr>
          <w:p w14:paraId="06018410">
            <w:pPr>
              <w:jc w:val="center"/>
              <w:rPr>
                <w:rFonts w:ascii="仿宋" w:hAnsi="仿宋" w:eastAsia="仿宋" w:cs="Times"/>
                <w:sz w:val="24"/>
                <w:lang w:bidi="ar"/>
              </w:rPr>
            </w:pPr>
          </w:p>
        </w:tc>
      </w:tr>
      <w:tr w14:paraId="7C1E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22" w:type="dxa"/>
            <w:vMerge w:val="continue"/>
            <w:tcBorders>
              <w:left w:val="single" w:color="auto" w:sz="4" w:space="0"/>
              <w:right w:val="single" w:color="auto" w:sz="4" w:space="0"/>
            </w:tcBorders>
            <w:noWrap w:val="0"/>
            <w:vAlign w:val="center"/>
          </w:tcPr>
          <w:p w14:paraId="1E538189">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54836966">
            <w:pPr>
              <w:jc w:val="left"/>
              <w:rPr>
                <w:rFonts w:ascii="仿宋" w:hAnsi="仿宋" w:eastAsia="仿宋" w:cs="Times"/>
                <w:sz w:val="24"/>
              </w:rPr>
            </w:pPr>
            <w:r>
              <w:rPr>
                <w:rFonts w:ascii="仿宋" w:hAnsi="仿宋" w:eastAsia="仿宋" w:cs="Times"/>
                <w:sz w:val="24"/>
              </w:rPr>
              <w:t>中国京剧艺术节（获奖）</w:t>
            </w:r>
          </w:p>
        </w:tc>
        <w:tc>
          <w:tcPr>
            <w:tcW w:w="1379" w:type="dxa"/>
            <w:vMerge w:val="continue"/>
            <w:tcBorders>
              <w:left w:val="nil"/>
              <w:right w:val="single" w:color="auto" w:sz="4" w:space="0"/>
            </w:tcBorders>
            <w:noWrap w:val="0"/>
            <w:vAlign w:val="center"/>
          </w:tcPr>
          <w:p w14:paraId="3B265999">
            <w:pPr>
              <w:jc w:val="center"/>
              <w:rPr>
                <w:rFonts w:ascii="仿宋" w:hAnsi="仿宋" w:eastAsia="仿宋" w:cs="Times"/>
                <w:sz w:val="24"/>
                <w:lang w:bidi="ar"/>
              </w:rPr>
            </w:pPr>
          </w:p>
        </w:tc>
      </w:tr>
      <w:tr w14:paraId="4FFE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22" w:type="dxa"/>
            <w:vMerge w:val="continue"/>
            <w:tcBorders>
              <w:left w:val="single" w:color="auto" w:sz="4" w:space="0"/>
              <w:right w:val="single" w:color="auto" w:sz="4" w:space="0"/>
            </w:tcBorders>
            <w:noWrap w:val="0"/>
            <w:vAlign w:val="center"/>
          </w:tcPr>
          <w:p w14:paraId="0F85032D">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0D663147">
            <w:pPr>
              <w:jc w:val="left"/>
              <w:rPr>
                <w:rFonts w:ascii="仿宋" w:hAnsi="仿宋" w:eastAsia="仿宋" w:cs="Times"/>
                <w:sz w:val="24"/>
              </w:rPr>
            </w:pPr>
            <w:r>
              <w:rPr>
                <w:rFonts w:ascii="仿宋" w:hAnsi="仿宋" w:eastAsia="仿宋" w:cs="Times"/>
                <w:sz w:val="24"/>
              </w:rPr>
              <w:t>中国越剧节（获奖）</w:t>
            </w:r>
          </w:p>
        </w:tc>
        <w:tc>
          <w:tcPr>
            <w:tcW w:w="1379" w:type="dxa"/>
            <w:vMerge w:val="continue"/>
            <w:tcBorders>
              <w:left w:val="nil"/>
              <w:right w:val="single" w:color="auto" w:sz="4" w:space="0"/>
            </w:tcBorders>
            <w:noWrap w:val="0"/>
            <w:vAlign w:val="center"/>
          </w:tcPr>
          <w:p w14:paraId="755AEFD9">
            <w:pPr>
              <w:jc w:val="center"/>
              <w:rPr>
                <w:rFonts w:ascii="仿宋" w:hAnsi="仿宋" w:eastAsia="仿宋" w:cs="Times"/>
                <w:sz w:val="24"/>
                <w:lang w:bidi="ar"/>
              </w:rPr>
            </w:pPr>
          </w:p>
        </w:tc>
      </w:tr>
      <w:tr w14:paraId="1A83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vMerge w:val="restart"/>
            <w:tcBorders>
              <w:left w:val="single" w:color="auto" w:sz="4" w:space="0"/>
              <w:right w:val="single" w:color="auto" w:sz="4" w:space="0"/>
            </w:tcBorders>
            <w:noWrap w:val="0"/>
            <w:vAlign w:val="center"/>
          </w:tcPr>
          <w:p w14:paraId="40515973">
            <w:pPr>
              <w:jc w:val="center"/>
              <w:rPr>
                <w:rFonts w:ascii="仿宋" w:hAnsi="仿宋" w:eastAsia="仿宋" w:cs="Times"/>
                <w:b/>
                <w:sz w:val="24"/>
                <w:lang w:bidi="ar"/>
              </w:rPr>
            </w:pPr>
            <w:r>
              <w:rPr>
                <w:rFonts w:ascii="仿宋" w:hAnsi="仿宋" w:eastAsia="仿宋" w:cs="Times"/>
                <w:b/>
                <w:spacing w:val="46"/>
                <w:position w:val="6"/>
                <w:sz w:val="24"/>
                <w:lang w:bidi="ar"/>
              </w:rPr>
              <w:t>省部级</w:t>
            </w:r>
          </w:p>
          <w:p w14:paraId="28EB1C57">
            <w:pPr>
              <w:jc w:val="center"/>
              <w:rPr>
                <w:rFonts w:ascii="仿宋" w:hAnsi="仿宋" w:eastAsia="仿宋" w:cs="Times"/>
                <w:b/>
                <w:sz w:val="24"/>
                <w:lang w:bidi="ar"/>
              </w:rPr>
            </w:pPr>
            <w:r>
              <w:rPr>
                <w:rFonts w:ascii="仿宋" w:hAnsi="仿宋" w:eastAsia="仿宋" w:cs="Times"/>
                <w:b/>
                <w:spacing w:val="46"/>
                <w:position w:val="6"/>
                <w:sz w:val="24"/>
                <w:lang w:bidi="ar"/>
              </w:rPr>
              <w:t>比赛</w:t>
            </w:r>
          </w:p>
        </w:tc>
        <w:tc>
          <w:tcPr>
            <w:tcW w:w="5766" w:type="dxa"/>
            <w:tcBorders>
              <w:top w:val="single" w:color="auto" w:sz="4" w:space="0"/>
              <w:left w:val="nil"/>
              <w:bottom w:val="single" w:color="auto" w:sz="4" w:space="0"/>
              <w:right w:val="single" w:color="auto" w:sz="4" w:space="0"/>
            </w:tcBorders>
            <w:noWrap w:val="0"/>
            <w:vAlign w:val="center"/>
          </w:tcPr>
          <w:p w14:paraId="606F10BC">
            <w:pPr>
              <w:jc w:val="left"/>
              <w:rPr>
                <w:rFonts w:ascii="仿宋" w:hAnsi="仿宋" w:eastAsia="仿宋" w:cs="Times"/>
                <w:sz w:val="24"/>
              </w:rPr>
            </w:pPr>
            <w:r>
              <w:rPr>
                <w:rFonts w:ascii="仿宋" w:hAnsi="仿宋" w:eastAsia="仿宋" w:cs="Times"/>
                <w:sz w:val="24"/>
              </w:rPr>
              <w:t>中国话剧金狮奖</w:t>
            </w:r>
          </w:p>
        </w:tc>
        <w:tc>
          <w:tcPr>
            <w:tcW w:w="1379" w:type="dxa"/>
            <w:vMerge w:val="restart"/>
            <w:tcBorders>
              <w:top w:val="single" w:color="auto" w:sz="4" w:space="0"/>
              <w:left w:val="nil"/>
              <w:right w:val="single" w:color="auto" w:sz="4" w:space="0"/>
            </w:tcBorders>
            <w:noWrap w:val="0"/>
            <w:vAlign w:val="center"/>
          </w:tcPr>
          <w:p w14:paraId="393FD191">
            <w:pPr>
              <w:jc w:val="left"/>
              <w:rPr>
                <w:rFonts w:ascii="仿宋" w:hAnsi="仿宋" w:eastAsia="仿宋" w:cs="Times"/>
                <w:sz w:val="24"/>
                <w:lang w:bidi="ar"/>
              </w:rPr>
            </w:pPr>
          </w:p>
        </w:tc>
      </w:tr>
      <w:tr w14:paraId="65BB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522" w:type="dxa"/>
            <w:vMerge w:val="continue"/>
            <w:tcBorders>
              <w:left w:val="single" w:color="auto" w:sz="4" w:space="0"/>
              <w:right w:val="single" w:color="auto" w:sz="4" w:space="0"/>
            </w:tcBorders>
            <w:noWrap w:val="0"/>
            <w:vAlign w:val="center"/>
          </w:tcPr>
          <w:p w14:paraId="3DA70690">
            <w:pPr>
              <w:jc w:val="center"/>
              <w:rPr>
                <w:rFonts w:ascii="仿宋" w:hAnsi="仿宋" w:eastAsia="仿宋" w:cs="Times"/>
                <w:b/>
                <w:sz w:val="24"/>
              </w:rPr>
            </w:pPr>
          </w:p>
        </w:tc>
        <w:tc>
          <w:tcPr>
            <w:tcW w:w="5766" w:type="dxa"/>
            <w:tcBorders>
              <w:top w:val="single" w:color="auto" w:sz="4" w:space="0"/>
              <w:left w:val="nil"/>
              <w:bottom w:val="single" w:color="auto" w:sz="4" w:space="0"/>
              <w:right w:val="single" w:color="auto" w:sz="4" w:space="0"/>
            </w:tcBorders>
            <w:noWrap w:val="0"/>
            <w:vAlign w:val="center"/>
          </w:tcPr>
          <w:p w14:paraId="6A79C5AC">
            <w:pPr>
              <w:jc w:val="left"/>
              <w:rPr>
                <w:rFonts w:ascii="仿宋" w:hAnsi="仿宋" w:eastAsia="仿宋" w:cs="Times"/>
                <w:sz w:val="24"/>
              </w:rPr>
            </w:pPr>
            <w:r>
              <w:rPr>
                <w:rFonts w:ascii="仿宋" w:hAnsi="仿宋" w:eastAsia="仿宋" w:cs="Times"/>
                <w:sz w:val="24"/>
              </w:rPr>
              <w:t>老舍文学奖</w:t>
            </w:r>
          </w:p>
        </w:tc>
        <w:tc>
          <w:tcPr>
            <w:tcW w:w="1379" w:type="dxa"/>
            <w:vMerge w:val="continue"/>
            <w:tcBorders>
              <w:left w:val="nil"/>
              <w:right w:val="single" w:color="auto" w:sz="4" w:space="0"/>
            </w:tcBorders>
            <w:noWrap w:val="0"/>
            <w:vAlign w:val="center"/>
          </w:tcPr>
          <w:p w14:paraId="141B0B57">
            <w:pPr>
              <w:jc w:val="center"/>
              <w:rPr>
                <w:rFonts w:ascii="仿宋" w:hAnsi="仿宋" w:eastAsia="仿宋" w:cs="Times"/>
                <w:sz w:val="24"/>
                <w:lang w:bidi="ar"/>
              </w:rPr>
            </w:pPr>
          </w:p>
        </w:tc>
      </w:tr>
      <w:tr w14:paraId="09D9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522" w:type="dxa"/>
            <w:tcBorders>
              <w:left w:val="single" w:color="auto" w:sz="4" w:space="0"/>
              <w:right w:val="single" w:color="auto" w:sz="4" w:space="0"/>
            </w:tcBorders>
            <w:noWrap w:val="0"/>
            <w:vAlign w:val="center"/>
          </w:tcPr>
          <w:p w14:paraId="0ACD44A8">
            <w:pPr>
              <w:jc w:val="center"/>
              <w:rPr>
                <w:rFonts w:ascii="仿宋" w:hAnsi="仿宋" w:eastAsia="仿宋" w:cs="Times"/>
                <w:b/>
                <w:sz w:val="24"/>
              </w:rPr>
            </w:pPr>
            <w:r>
              <w:rPr>
                <w:rFonts w:ascii="仿宋" w:hAnsi="仿宋" w:eastAsia="仿宋" w:cs="Times"/>
                <w:b/>
                <w:sz w:val="24"/>
              </w:rPr>
              <w:t>其他</w:t>
            </w:r>
          </w:p>
        </w:tc>
        <w:tc>
          <w:tcPr>
            <w:tcW w:w="7145" w:type="dxa"/>
            <w:gridSpan w:val="2"/>
            <w:tcBorders>
              <w:top w:val="single" w:color="auto" w:sz="4" w:space="0"/>
              <w:left w:val="nil"/>
              <w:bottom w:val="single" w:color="auto" w:sz="4" w:space="0"/>
              <w:right w:val="single" w:color="auto" w:sz="4" w:space="0"/>
            </w:tcBorders>
            <w:noWrap w:val="0"/>
            <w:vAlign w:val="center"/>
          </w:tcPr>
          <w:p w14:paraId="682EF7FE">
            <w:pPr>
              <w:jc w:val="left"/>
              <w:rPr>
                <w:rFonts w:ascii="仿宋" w:hAnsi="仿宋" w:eastAsia="仿宋" w:cs="Times"/>
                <w:sz w:val="24"/>
              </w:rPr>
            </w:pPr>
            <w:r>
              <w:rPr>
                <w:rFonts w:ascii="仿宋" w:hAnsi="仿宋" w:eastAsia="仿宋" w:cs="Times"/>
                <w:sz w:val="24"/>
              </w:rPr>
              <w:t>其他经专家委员会认定的国家级、省部级比赛或评奖活动。</w:t>
            </w:r>
          </w:p>
        </w:tc>
      </w:tr>
    </w:tbl>
    <w:p w14:paraId="438587C7">
      <w:pPr>
        <w:spacing w:line="440" w:lineRule="exact"/>
        <w:jc w:val="left"/>
        <w:outlineLvl w:val="1"/>
        <w:rPr>
          <w:rFonts w:ascii="仿宋" w:hAnsi="仿宋" w:eastAsia="仿宋"/>
          <w:sz w:val="24"/>
        </w:rPr>
      </w:pPr>
    </w:p>
    <w:p w14:paraId="44B215D5">
      <w:pPr>
        <w:rPr>
          <w:rFonts w:hint="eastAsia" w:ascii="仿宋" w:hAnsi="仿宋" w:eastAsia="仿宋"/>
        </w:rPr>
      </w:pPr>
    </w:p>
    <w:p w14:paraId="7018F90D">
      <w:pPr>
        <w:widowControl/>
        <w:spacing w:after="150"/>
        <w:jc w:val="left"/>
        <w:rPr>
          <w:rFonts w:hint="eastAsia" w:ascii="Times" w:hAnsi="Times" w:eastAsia="仿宋" w:cs="Times"/>
          <w:kern w:val="0"/>
          <w:sz w:val="32"/>
          <w:szCs w:val="32"/>
        </w:rPr>
      </w:pPr>
    </w:p>
    <w:p w14:paraId="361B20EF">
      <w:pPr>
        <w:keepNext w:val="0"/>
        <w:keepLines w:val="0"/>
        <w:pageBreakBefore w:val="0"/>
        <w:widowControl/>
        <w:kinsoku/>
        <w:wordWrap/>
        <w:overflowPunct/>
        <w:topLinePunct w:val="0"/>
        <w:autoSpaceDE w:val="0"/>
        <w:autoSpaceDN w:val="0"/>
        <w:bidi w:val="0"/>
        <w:adjustRightInd w:val="0"/>
        <w:snapToGrid/>
        <w:spacing w:line="440" w:lineRule="exact"/>
        <w:jc w:val="left"/>
        <w:rPr>
          <w:rFonts w:hint="eastAsia" w:ascii="方正仿宋_GB2312" w:hAnsi="方正仿宋_GB2312" w:eastAsia="方正仿宋_GB2312" w:cs="方正仿宋_GB2312"/>
          <w:color w:val="000000" w:themeColor="text1"/>
          <w:kern w:val="0"/>
          <w:sz w:val="28"/>
          <w:szCs w:val="28"/>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方正仿宋_GB2312">
    <w:panose1 w:val="02000000000000000000"/>
    <w:charset w:val="86"/>
    <w:family w:val="auto"/>
    <w:pitch w:val="default"/>
    <w:sig w:usb0="A00002BF" w:usb1="184F6CFA" w:usb2="00000012" w:usb3="00000000" w:csb0="00040001" w:csb1="00000000"/>
    <w:embedRegular r:id="rId1" w:fontKey="{35EE3BE1-8E2D-40B3-AA36-052A047FD581}"/>
  </w:font>
  <w:font w:name="仿宋_GB2312">
    <w:altName w:val="仿宋"/>
    <w:panose1 w:val="02010609030101010101"/>
    <w:charset w:val="86"/>
    <w:family w:val="auto"/>
    <w:pitch w:val="default"/>
    <w:sig w:usb0="00000000" w:usb1="00000000" w:usb2="00000000" w:usb3="00000000" w:csb0="00040000" w:csb1="00000000"/>
    <w:embedRegular r:id="rId2" w:fontKey="{FC410CCD-7605-48A3-8547-D300F9ED3B54}"/>
  </w:font>
  <w:font w:name="仿宋">
    <w:panose1 w:val="02010609060101010101"/>
    <w:charset w:val="86"/>
    <w:family w:val="auto"/>
    <w:pitch w:val="default"/>
    <w:sig w:usb0="800002BF" w:usb1="38CF7CFA" w:usb2="00000016" w:usb3="00000000" w:csb0="00040001" w:csb1="00000000"/>
    <w:embedRegular r:id="rId3" w:fontKey="{2ED694DB-36B2-4D2D-BF24-FBD29543E9EB}"/>
  </w:font>
  <w:font w:name="华文仿宋">
    <w:panose1 w:val="02010600040101010101"/>
    <w:charset w:val="86"/>
    <w:family w:val="auto"/>
    <w:pitch w:val="default"/>
    <w:sig w:usb0="00000287" w:usb1="080F0000" w:usb2="00000000" w:usb3="00000000" w:csb0="0004009F" w:csb1="DFD70000"/>
    <w:embedRegular r:id="rId4" w:fontKey="{86AFDEB8-0F93-4737-A5CB-A86F2E0AC14E}"/>
  </w:font>
  <w:font w:name="Times">
    <w:altName w:val="Times New Roman"/>
    <w:panose1 w:val="02020603050405020304"/>
    <w:charset w:val="00"/>
    <w:family w:val="roman"/>
    <w:pitch w:val="default"/>
    <w:sig w:usb0="00000000" w:usb1="00000000" w:usb2="00000000" w:usb3="00000000" w:csb0="000001FF" w:csb1="00000000"/>
    <w:embedRegular r:id="rId5" w:fontKey="{AF17C548-66BA-426F-8DCB-30B9EA91C4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10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6266B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6266B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AF5E17"/>
    <w:multiLevelType w:val="singleLevel"/>
    <w:tmpl w:val="A5AF5E17"/>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1NWEwMmU3YjNjOGFlZjFkMzNiMTMwOWM0YzlkNDkifQ=="/>
  </w:docVars>
  <w:rsids>
    <w:rsidRoot w:val="00057831"/>
    <w:rsid w:val="00010764"/>
    <w:rsid w:val="00027BEB"/>
    <w:rsid w:val="0005771F"/>
    <w:rsid w:val="00057831"/>
    <w:rsid w:val="000618B9"/>
    <w:rsid w:val="00073641"/>
    <w:rsid w:val="000A02AD"/>
    <w:rsid w:val="000E760D"/>
    <w:rsid w:val="000F54AD"/>
    <w:rsid w:val="001126DB"/>
    <w:rsid w:val="00114A59"/>
    <w:rsid w:val="00140707"/>
    <w:rsid w:val="001523CA"/>
    <w:rsid w:val="001867EF"/>
    <w:rsid w:val="0019146A"/>
    <w:rsid w:val="001B38A4"/>
    <w:rsid w:val="001B634F"/>
    <w:rsid w:val="001C27CE"/>
    <w:rsid w:val="001C561E"/>
    <w:rsid w:val="001D44A0"/>
    <w:rsid w:val="001E51BD"/>
    <w:rsid w:val="001F4359"/>
    <w:rsid w:val="00236BFF"/>
    <w:rsid w:val="00243C89"/>
    <w:rsid w:val="00273933"/>
    <w:rsid w:val="002763CF"/>
    <w:rsid w:val="00292C42"/>
    <w:rsid w:val="00293281"/>
    <w:rsid w:val="002A6C9C"/>
    <w:rsid w:val="002D1CCA"/>
    <w:rsid w:val="002D4BE7"/>
    <w:rsid w:val="002E1BD1"/>
    <w:rsid w:val="00301C5F"/>
    <w:rsid w:val="003A2D41"/>
    <w:rsid w:val="003C6320"/>
    <w:rsid w:val="003F01C9"/>
    <w:rsid w:val="00420869"/>
    <w:rsid w:val="00431D53"/>
    <w:rsid w:val="0043750B"/>
    <w:rsid w:val="00437EF8"/>
    <w:rsid w:val="00475BC2"/>
    <w:rsid w:val="00476E3F"/>
    <w:rsid w:val="0048482F"/>
    <w:rsid w:val="004C2028"/>
    <w:rsid w:val="004D2ECA"/>
    <w:rsid w:val="00510ED5"/>
    <w:rsid w:val="005571FA"/>
    <w:rsid w:val="00561172"/>
    <w:rsid w:val="0059469A"/>
    <w:rsid w:val="005A1BB9"/>
    <w:rsid w:val="005C71DC"/>
    <w:rsid w:val="006034F8"/>
    <w:rsid w:val="00606A0C"/>
    <w:rsid w:val="006136B2"/>
    <w:rsid w:val="0061606F"/>
    <w:rsid w:val="00684BD8"/>
    <w:rsid w:val="006A3C90"/>
    <w:rsid w:val="006A3DB2"/>
    <w:rsid w:val="006B7A0E"/>
    <w:rsid w:val="006E5D57"/>
    <w:rsid w:val="006F3C32"/>
    <w:rsid w:val="006F494C"/>
    <w:rsid w:val="00716F9C"/>
    <w:rsid w:val="00720708"/>
    <w:rsid w:val="00721A94"/>
    <w:rsid w:val="007348DE"/>
    <w:rsid w:val="007356DF"/>
    <w:rsid w:val="00743AF5"/>
    <w:rsid w:val="00755394"/>
    <w:rsid w:val="00771C0A"/>
    <w:rsid w:val="00777B9A"/>
    <w:rsid w:val="007908EC"/>
    <w:rsid w:val="007919A0"/>
    <w:rsid w:val="007D5A60"/>
    <w:rsid w:val="007E51E8"/>
    <w:rsid w:val="007F4531"/>
    <w:rsid w:val="007F62D5"/>
    <w:rsid w:val="00805382"/>
    <w:rsid w:val="0081040C"/>
    <w:rsid w:val="00811D4E"/>
    <w:rsid w:val="00842AA3"/>
    <w:rsid w:val="0084580E"/>
    <w:rsid w:val="00850546"/>
    <w:rsid w:val="0085270B"/>
    <w:rsid w:val="008774EA"/>
    <w:rsid w:val="008B578C"/>
    <w:rsid w:val="008F40A1"/>
    <w:rsid w:val="008F5581"/>
    <w:rsid w:val="008F61A7"/>
    <w:rsid w:val="009156AC"/>
    <w:rsid w:val="00917EA5"/>
    <w:rsid w:val="00925AF4"/>
    <w:rsid w:val="00935C82"/>
    <w:rsid w:val="00946274"/>
    <w:rsid w:val="00953C24"/>
    <w:rsid w:val="0096323E"/>
    <w:rsid w:val="00974228"/>
    <w:rsid w:val="009B22A7"/>
    <w:rsid w:val="009C7202"/>
    <w:rsid w:val="009D0341"/>
    <w:rsid w:val="00A03036"/>
    <w:rsid w:val="00A56DC9"/>
    <w:rsid w:val="00A628B8"/>
    <w:rsid w:val="00A8128F"/>
    <w:rsid w:val="00A820DB"/>
    <w:rsid w:val="00AB6907"/>
    <w:rsid w:val="00AC2B9F"/>
    <w:rsid w:val="00AC5AAC"/>
    <w:rsid w:val="00AF3886"/>
    <w:rsid w:val="00AF7CEE"/>
    <w:rsid w:val="00B13CF2"/>
    <w:rsid w:val="00B17FDC"/>
    <w:rsid w:val="00B456D1"/>
    <w:rsid w:val="00B620F1"/>
    <w:rsid w:val="00BA258C"/>
    <w:rsid w:val="00BC31D1"/>
    <w:rsid w:val="00BC4751"/>
    <w:rsid w:val="00BE75CE"/>
    <w:rsid w:val="00C15E83"/>
    <w:rsid w:val="00C3310F"/>
    <w:rsid w:val="00C52DAB"/>
    <w:rsid w:val="00C552D0"/>
    <w:rsid w:val="00C73007"/>
    <w:rsid w:val="00CE03C6"/>
    <w:rsid w:val="00CF0BCC"/>
    <w:rsid w:val="00D02371"/>
    <w:rsid w:val="00D07C31"/>
    <w:rsid w:val="00D10B11"/>
    <w:rsid w:val="00D25A1E"/>
    <w:rsid w:val="00D35468"/>
    <w:rsid w:val="00D566D1"/>
    <w:rsid w:val="00D975C1"/>
    <w:rsid w:val="00DA4634"/>
    <w:rsid w:val="00DD1451"/>
    <w:rsid w:val="00DD28F8"/>
    <w:rsid w:val="00DD5F21"/>
    <w:rsid w:val="00E1625C"/>
    <w:rsid w:val="00E30234"/>
    <w:rsid w:val="00E35307"/>
    <w:rsid w:val="00E379FE"/>
    <w:rsid w:val="00E47611"/>
    <w:rsid w:val="00E5460E"/>
    <w:rsid w:val="00E92357"/>
    <w:rsid w:val="00E96D2E"/>
    <w:rsid w:val="00EA756D"/>
    <w:rsid w:val="00EB6A09"/>
    <w:rsid w:val="00EC3FAB"/>
    <w:rsid w:val="00ED0C8A"/>
    <w:rsid w:val="00ED4632"/>
    <w:rsid w:val="00EF243B"/>
    <w:rsid w:val="00F05E14"/>
    <w:rsid w:val="00F2030C"/>
    <w:rsid w:val="00F23D20"/>
    <w:rsid w:val="00F26A8C"/>
    <w:rsid w:val="00F30206"/>
    <w:rsid w:val="00F31258"/>
    <w:rsid w:val="00FE22B2"/>
    <w:rsid w:val="00FF5460"/>
    <w:rsid w:val="029B2F0C"/>
    <w:rsid w:val="05096F5E"/>
    <w:rsid w:val="058A7C48"/>
    <w:rsid w:val="05AA1FCE"/>
    <w:rsid w:val="05EA570F"/>
    <w:rsid w:val="08964B56"/>
    <w:rsid w:val="0B3C5587"/>
    <w:rsid w:val="0E1A6385"/>
    <w:rsid w:val="0E947667"/>
    <w:rsid w:val="0EBB70C4"/>
    <w:rsid w:val="14F164C3"/>
    <w:rsid w:val="15D1642E"/>
    <w:rsid w:val="1B5E115F"/>
    <w:rsid w:val="1C3B5CE8"/>
    <w:rsid w:val="1CA90611"/>
    <w:rsid w:val="1F707A57"/>
    <w:rsid w:val="20C0056A"/>
    <w:rsid w:val="20D54096"/>
    <w:rsid w:val="211508B6"/>
    <w:rsid w:val="225B679C"/>
    <w:rsid w:val="23123443"/>
    <w:rsid w:val="24DB0068"/>
    <w:rsid w:val="25EC42CD"/>
    <w:rsid w:val="292D69B8"/>
    <w:rsid w:val="296C5733"/>
    <w:rsid w:val="2A104310"/>
    <w:rsid w:val="30995E50"/>
    <w:rsid w:val="31C215CA"/>
    <w:rsid w:val="324B0F56"/>
    <w:rsid w:val="3330580A"/>
    <w:rsid w:val="352831D8"/>
    <w:rsid w:val="373F7FE3"/>
    <w:rsid w:val="37BA3B0D"/>
    <w:rsid w:val="38451629"/>
    <w:rsid w:val="399873FA"/>
    <w:rsid w:val="39FD7407"/>
    <w:rsid w:val="3A230DBA"/>
    <w:rsid w:val="3B4908C5"/>
    <w:rsid w:val="3BF301A9"/>
    <w:rsid w:val="3D891605"/>
    <w:rsid w:val="3DC94AAA"/>
    <w:rsid w:val="3F094F7A"/>
    <w:rsid w:val="40E83499"/>
    <w:rsid w:val="445144FE"/>
    <w:rsid w:val="493E324E"/>
    <w:rsid w:val="4A54799B"/>
    <w:rsid w:val="4B893E48"/>
    <w:rsid w:val="4D3C7046"/>
    <w:rsid w:val="51E7284C"/>
    <w:rsid w:val="534D3630"/>
    <w:rsid w:val="541A1764"/>
    <w:rsid w:val="55747599"/>
    <w:rsid w:val="56E66275"/>
    <w:rsid w:val="56F42740"/>
    <w:rsid w:val="579655A5"/>
    <w:rsid w:val="584119B5"/>
    <w:rsid w:val="5BA30291"/>
    <w:rsid w:val="604069F6"/>
    <w:rsid w:val="60D2613B"/>
    <w:rsid w:val="634C7460"/>
    <w:rsid w:val="63F518A5"/>
    <w:rsid w:val="641F5EA8"/>
    <w:rsid w:val="659F41BF"/>
    <w:rsid w:val="66CF63DE"/>
    <w:rsid w:val="674E548A"/>
    <w:rsid w:val="67542A49"/>
    <w:rsid w:val="69937B96"/>
    <w:rsid w:val="6B811C71"/>
    <w:rsid w:val="6C424E4E"/>
    <w:rsid w:val="6C7454B9"/>
    <w:rsid w:val="6F6628C2"/>
    <w:rsid w:val="6F714BD3"/>
    <w:rsid w:val="700205F2"/>
    <w:rsid w:val="74D329F4"/>
    <w:rsid w:val="7523642A"/>
    <w:rsid w:val="770C2D36"/>
    <w:rsid w:val="771A5453"/>
    <w:rsid w:val="7857002D"/>
    <w:rsid w:val="78C25DA2"/>
    <w:rsid w:val="792F3EBC"/>
    <w:rsid w:val="79DA5414"/>
    <w:rsid w:val="7A556C0C"/>
    <w:rsid w:val="7AE64BA1"/>
    <w:rsid w:val="7B7B2150"/>
    <w:rsid w:val="7BD05638"/>
    <w:rsid w:val="7D4776B6"/>
    <w:rsid w:val="7E7A3BFC"/>
    <w:rsid w:val="7F7F60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2"/>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批注框文本 字符"/>
    <w:basedOn w:val="9"/>
    <w:link w:val="3"/>
    <w:semiHidden/>
    <w:qFormat/>
    <w:uiPriority w:val="99"/>
    <w:rPr>
      <w:rFonts w:ascii="Times New Roman" w:hAnsi="Times New Roman" w:eastAsia="宋体" w:cs="Times New Roman"/>
      <w:sz w:val="18"/>
      <w:szCs w:val="18"/>
    </w:rPr>
  </w:style>
  <w:style w:type="character" w:customStyle="1" w:styleId="13">
    <w:name w:val="页眉 字符"/>
    <w:basedOn w:val="9"/>
    <w:link w:val="5"/>
    <w:qFormat/>
    <w:uiPriority w:val="99"/>
    <w:rPr>
      <w:rFonts w:ascii="Times New Roman" w:hAnsi="Times New Roman" w:eastAsia="宋体" w:cs="Times New Roman"/>
      <w:sz w:val="18"/>
      <w:szCs w:val="18"/>
    </w:rPr>
  </w:style>
  <w:style w:type="character" w:customStyle="1" w:styleId="14">
    <w:name w:val="页脚 字符"/>
    <w:basedOn w:val="9"/>
    <w:link w:val="4"/>
    <w:qFormat/>
    <w:uiPriority w:val="99"/>
    <w:rPr>
      <w:rFonts w:ascii="Times New Roman" w:hAnsi="Times New Roman" w:eastAsia="宋体" w:cs="Times New Roman"/>
      <w:sz w:val="18"/>
      <w:szCs w:val="18"/>
    </w:rPr>
  </w:style>
  <w:style w:type="paragraph" w:customStyle="1" w:styleId="15">
    <w:name w:val="正文 A"/>
    <w:qFormat/>
    <w:uiPriority w:val="0"/>
    <w:rPr>
      <w:rFonts w:ascii="Arial Unicode MS" w:hAnsi="Arial Unicode MS" w:eastAsia="Arial Unicode MS" w:cs="Arial Unicode MS"/>
      <w:color w:val="000000"/>
      <w:sz w:val="22"/>
      <w:szCs w:val="22"/>
      <w:u w:color="000000"/>
      <w:lang w:val="zh-TW" w:eastAsia="zh-TW" w:bidi="ar-SA"/>
    </w:rPr>
  </w:style>
  <w:style w:type="character" w:customStyle="1" w:styleId="16">
    <w:name w:val="批注文字 字符"/>
    <w:basedOn w:val="9"/>
    <w:link w:val="2"/>
    <w:semiHidden/>
    <w:qFormat/>
    <w:uiPriority w:val="99"/>
    <w:rPr>
      <w:rFonts w:ascii="Times New Roman" w:hAnsi="Times New Roman" w:eastAsia="宋体" w:cs="Times New Roman"/>
      <w:szCs w:val="24"/>
    </w:rPr>
  </w:style>
  <w:style w:type="character" w:customStyle="1" w:styleId="17">
    <w:name w:val="批注主题 字符"/>
    <w:basedOn w:val="16"/>
    <w:link w:val="6"/>
    <w:semiHidden/>
    <w:qFormat/>
    <w:uiPriority w:val="99"/>
    <w:rPr>
      <w:rFonts w:ascii="Times New Roman" w:hAnsi="Times New Roman" w:eastAsia="宋体" w:cs="Times New Roman"/>
      <w:b/>
      <w:bCs/>
      <w:szCs w:val="24"/>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0DB6DE-F81B-4555-8CB2-D4E142B0834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799</Words>
  <Characters>819</Characters>
  <Lines>22</Lines>
  <Paragraphs>6</Paragraphs>
  <TotalTime>1</TotalTime>
  <ScaleCrop>false</ScaleCrop>
  <LinksUpToDate>false</LinksUpToDate>
  <CharactersWithSpaces>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2021-09-16T07:01:00Z</dcterms:created>
  <dc:creator>User</dc:creator>
  <cp:lastModifiedBy>格丽</cp:lastModifiedBy>
  <cp:lastPrinted>2023-09-28T06:38:00Z</cp:lastPrinted>
  <dcterms:modified xsi:type="dcterms:W3CDTF">2026-10-23T07:39:31Z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6E9018CD462141BFBFC6623E1A11D208_13</vt:lpwstr>
  </property>
  <property fmtid="{D5CDD505-2E9C-101B-9397-08002B2CF9AE}" pid="4" name="KSOTemplateDocerSaveRecord">
    <vt:lpwstr>eyJoZGlkIjoiOGM1NWEwMmU3YjNjOGFlZjFkMzNiMTMwOWM0YzlkNDkiLCJ1c2VySWQiOiI0MDg0MjAxMzAifQ==</vt:lpwstr>
  </property>
</Properties>
</file>